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21 395/110 vom 13. Mai 2022</w:t>
      </w:r>
    </w:p>
    <w:p>
      <w:r>
        <w:t>BL Gerichte, 2022-05-13, DE</w:t>
      </w:r>
    </w:p>
    <w:p>
      <w:r>
        <w:rPr>
          <w:b/>
        </w:rPr>
        <w:t xml:space="preserve">Quelle: </w:t>
      </w:r>
      <w:r>
        <w:t>https://mcp.opencaselaw.ch/entscheid/bl_gerichte_735_21_395_110</w:t>
      </w:r>
    </w:p>
    <w:p>
      <w:r>
        <w:t>FR: BL_GERICHTE 735 21 395/110 du 13 mai 2022</w:t>
      </w:r>
    </w:p>
    <w:p>
      <w:r>
        <w:t>IT: BL_GERICHTE 735 21 395/110 del 13 maggio 2022</w:t>
      </w:r>
    </w:p>
    <w:p>
      <w:pPr>
        <w:pStyle w:val="Heading2"/>
      </w:pPr>
      <w:r>
        <w:t>Regeste</w:t>
      </w:r>
    </w:p>
    <w:p>
      <w:r>
        <w:t>Konventionalstrafen</w:t>
      </w:r>
    </w:p>
    <w:p>
      <w:pPr>
        <w:pStyle w:val="Heading2"/>
      </w:pPr>
      <w:r>
        <w:t>Erwägungen</w:t>
      </w:r>
    </w:p>
    <w:p>
      <w:r>
        <w:rPr>
          <w:b/>
        </w:rPr>
        <w:t>E. 2</w:t>
      </w:r>
    </w:p>
    <w:p>
      <w:r>
        <w:t>Streitigkeiten bis zu einem Streitwert von Fr. 20'000.- entscheidet gemäss § 55 Abs. 1 VPO die präsidierende Person der Abteilung Sozialversicherungsrecht des Kantonsgerichts durch Präsidialentscheid. Im vorliegenden Fall überschreitet die klageweise geltend gemachte Forderung die Streitwertgrenze nicht. Die Beurteilung der vorliegenden Klage vom 9. November 2021 fällt demnach in die Kompetenz der präsidierenden Person der Abteilung Sozialversicherungsrecht des Kantonsgerichts.</w:t>
      </w:r>
    </w:p>
    <w:p>
      <w:r>
        <w:rPr>
          <w:b/>
        </w:rPr>
        <w:t>E. 3</w:t>
      </w:r>
    </w:p>
    <w:p>
      <w:r>
        <w:t>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