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735 20 479/310 vom 19. November 2021</w:t>
      </w:r>
    </w:p>
    <w:p>
      <w:r>
        <w:t>BL Gerichte, 2021-11-19, DE</w:t>
      </w:r>
    </w:p>
    <w:p>
      <w:r>
        <w:rPr>
          <w:b/>
        </w:rPr>
        <w:t xml:space="preserve">Quelle: </w:t>
      </w:r>
      <w:r>
        <w:t>https://mcp.opencaselaw.ch/entscheid/bl_gerichte_735_20_479_310</w:t>
      </w:r>
    </w:p>
    <w:p>
      <w:r>
        <w:t>FR: BL_GERICHTE 735 20 479/310 du 19 novembre 2021</w:t>
      </w:r>
    </w:p>
    <w:p>
      <w:r>
        <w:t>IT: BL_GERICHTE 735 20 479/310 del 19 novembre 2021</w:t>
      </w:r>
    </w:p>
    <w:p>
      <w:pPr>
        <w:pStyle w:val="Heading2"/>
      </w:pPr>
      <w:r>
        <w:t>Regeste</w:t>
      </w:r>
    </w:p>
    <w:p>
      <w:r>
        <w:t>Austrittsleistung aus beruflicher Vorsorge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Pensionskasse der F.____ wird angewiesen, zu Lasten des Vorsorgekontos lautend auf B.____ mit Fälligkeit nach Rechtskraft des vorliegenden Urteils den Betrag von Fr. 70'673.35 auf das Vorsorgekonto bei der Pensionskasse der F.____ lautend auf A.____ zu überweisen, wobei dieser Betrag ab Einleitung des Scheidungsverfahrens (25. September 2020) mit dem reglementarischen Zinssatz oder subsidiär dem BVG-Mindestzinssatz von 1% und gegebenenfalls ab dem 31. Tag nach Eintritt der Rechtskraft des vorliegenden Urteils bzw. am Tag der Ausfällung des Entscheids des Bundesgerichts mit einem Verzugszinssatz von 2% zu verzinsen ist.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Es wird keine Parteientschädigung ausgerichtet.</w:t>
      </w:r>
    </w:p>
    <w:p>
      <w:r>
        <w:rPr>
          <w:b/>
        </w:rPr>
        <w:t>E. 4</w:t>
      </w:r>
    </w:p>
    <w:p>
      <w:r>
        <w:t>Zufolge Bewilligung der unentgeltlichen Verbeiständung wird der Rechtsvertreterin der geschiedenen Ehefrau für das vorliegende Verfahren ein Honorar von Fr. 769.-- (inkl. Auslagen und 7,7% Mehrwertsteuer) aus der Gerichtskasse entrichtet.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