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731 18 278/49 vom 21. Februar 2019</w:t>
      </w:r>
    </w:p>
    <w:p>
      <w:r>
        <w:t>BL Gerichte, 2019-02-21, DE</w:t>
      </w:r>
    </w:p>
    <w:p>
      <w:r>
        <w:rPr>
          <w:b/>
        </w:rPr>
        <w:t xml:space="preserve">Quelle: </w:t>
      </w:r>
      <w:r>
        <w:t>https://mcp.opencaselaw.ch/entscheid/bl_gerichte_731_18_278_49</w:t>
      </w:r>
    </w:p>
    <w:p>
      <w:r>
        <w:t>FR: BL_GERICHTE 731 18 278/49 du 21 février 2019</w:t>
      </w:r>
    </w:p>
    <w:p>
      <w:r>
        <w:t>IT: BL_GERICHTE 731 18 278/49 del 21 febbraio 2019</w:t>
      </w:r>
    </w:p>
    <w:p>
      <w:pPr>
        <w:pStyle w:val="Heading2"/>
      </w:pPr>
      <w:r>
        <w:t>Regeste</w:t>
      </w:r>
    </w:p>
    <w:p>
      <w:r>
        <w:t>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Der Kläger hat der Beklagten eine Parteientschädigung in der Höhe von Fr. 7‘765.75 (inkl. 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