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 9/252 vom 17. Mai 2017</w:t>
      </w:r>
    </w:p>
    <w:p>
      <w:r>
        <w:t>BL Gerichte, 2017-05-17, DE</w:t>
      </w:r>
    </w:p>
    <w:p>
      <w:r>
        <w:rPr>
          <w:b/>
        </w:rPr>
        <w:t xml:space="preserve">Quelle: </w:t>
      </w:r>
      <w:r>
        <w:t>https://mcp.opencaselaw.ch/entscheid/bl_gerichte_730_20_9_252</w:t>
      </w:r>
    </w:p>
    <w:p>
      <w:r>
        <w:t>FR: BL_GERICHTE 730 20 9/252 du 17 mai 2017</w:t>
      </w:r>
    </w:p>
    <w:p>
      <w:r>
        <w:t>IT: BL_GERICHTE 730 20 9/252 del 17 maggio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KVG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 zuständig. Auf die - im Übrigen frist- und formgerecht erhobene - Beschwerde vom 4. Januar 2020 ist demnach einzutreten.</w:t>
      </w:r>
    </w:p>
    <w:p>
      <w:r>
        <w:rPr>
          <w:b/>
        </w:rPr>
        <w:t>E. 2</w:t>
      </w:r>
    </w:p>
    <w:p>
      <w:r>
        <w:t>Es werden keine Verfahrenskosten erhoben.</w:t>
      </w:r>
    </w:p>
    <w:p>
      <w:r>
        <w:rPr>
          <w:b/>
        </w:rPr>
        <w:t>E. 3</w:t>
      </w:r>
    </w:p>
    <w:p>
      <w:r>
        <w:t>Die Kosten für das gerichtliche Gutachten von Dr. Dr. D.____ in der Höhe von Fr. 4'146.-- werden der Avenir Krankenversicherung AG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