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19 74/189 vom 9. August 2019</w:t>
      </w:r>
    </w:p>
    <w:p>
      <w:r>
        <w:t>BL Gerichte, 2019-08-09, DE</w:t>
      </w:r>
    </w:p>
    <w:p>
      <w:r>
        <w:rPr>
          <w:b/>
        </w:rPr>
        <w:t xml:space="preserve">Quelle: </w:t>
      </w:r>
      <w:r>
        <w:t>https://mcp.opencaselaw.ch/entscheid/bl_gerichte_730_19_74_189</w:t>
      </w:r>
    </w:p>
    <w:p>
      <w:r>
        <w:t>FR: BL_GERICHTE 730 19 74/189 du 9 août 2019</w:t>
      </w:r>
    </w:p>
    <w:p>
      <w:r>
        <w:t>IT: BL_GERICHTE 730 19 74/189 del 9 agosto 2019</w:t>
      </w:r>
    </w:p>
    <w:p>
      <w:pPr>
        <w:pStyle w:val="Heading2"/>
      </w:pPr>
      <w:r>
        <w:t>Regeste</w:t>
      </w:r>
    </w:p>
    <w:p>
      <w:r>
        <w:t>Forderung</w:t>
      </w:r>
    </w:p>
    <w:p>
      <w:pPr>
        <w:pStyle w:val="Heading2"/>
      </w:pPr>
      <w:r>
        <w:t>Erwägungen</w:t>
      </w:r>
    </w:p>
    <w:p>
      <w:r>
        <w:rPr>
          <w:b/>
        </w:rPr>
        <w:t>E. 3</w:t>
      </w:r>
    </w:p>
    <w:p>
      <w:r>
        <w:t>Unter den Parteien ist unbestritten, dass die notwendige Nachversicherungsbestätigung im Sinne von Art. 7 Abs. 5 KVG seitens der neuen Versicherung bereits Ende 2017 bei der Beschwerdegegnerin eingegangen war und dass das Versicherungsverhältnis mit der Beschwerdegegnerin deshalb per Ende Dezember 2017 endete. Ebenfalls steht fest, dass die Beschwerdegegnerin aufgrund von einem in ihrer eigenen Verantwortung liegenden Mangel davon ausging, dass ihr die Nachversicherungsbestätigung nicht zugestellt worden sei und daher das Versicherungsverhältnis weiterbestehe, und dass sie demzufolge die Verantwortung für die Prämienrechnungen und für die Einleitung der Betreibungen trägt. Durch ihr Verhalten verhinderte die Beschwerdegegnerin den vollständigen Vollzug des Versicherungswechsels des Beschwerdeführers im Sinne von Art. 7 Abs. 6 KVG (vgl. E. 2.3 hiervor). 4.1 Streitig und im Folgenden zu prüfen ist jedoch, ob die vom Beschwerdeführer geltend gemachten Anwaltskosten einen Schaden im Sinne von Art. 7 Abs. 6 KVG mit der Folge einer Schadenersatzpflicht der Beschwerdegegnerin darstellen. Die Beschwerdegegnerin verneint ihre Schadenersatzpflicht, weil der Beizug des Rechtsanwalts nicht notwendig gewesen sei, wogegen sich der Beschwerdeführer auf die Notwendigkeit des Beizugs beruft. Massgebend ist daher die Frage nach der adäquaten Kausalität zwischen den Anwaltskosten und dem Fehlverhalten der Beschwerdegegnerin. 4.2 In Bezug auf den Aufwand im Zusammenhang mit dem Versicherungswechsel und den Betreibungen ist festzuhalten, dass der Beschwerdeführer und die Beschwerdegegnerin lange vor dem Beizug einer Rechtsvertretung miteinander Korrespondenz über die ab Januar 2018 in Rechnung gestellten Prämien führten. Dabei wies die Beschwerdegegnerin den Beschwerdeführer mehrfach auf die ausstehende Nachversicherungsbestätigung hin und empfahl ihm jeweils zugleich die Zustellung derselben, um so das Versicherungsverhältnis zu beenden. Den Antworten des Beschwerdeführers ist zu entnehmen, dass er davon ausgehen musste, dass der Beschwerdegegnerin die Nachversicherungsbestätigung untergegangen war. Zwar ist der Beschwerdegegnerin diesbezüglich ein Fehler unterlaufen. Doch trifft den Beschwerdeführer im nichtstreitigen Verwaltungsverfahren eine Mitwirkungspflicht, welche hier mit Blick auf die Verhältnismässigkeit stärker zu gewichten ist als das nicht beabsichtigte Fehlverhalten der Beschwerdegegnerin. Namentlich hätte der Beschwerdeführer seine neue Versicherung kontaktieren und der Beschwerdegegnerin die Nachversicherungsbestätigung zustellen können. Zudem hätte er bereits mit Zustellung der neuen Police und der Belege für die Bezahlung der Prämien für das Jahr 2018 Klarheit schaffen können, so wie dies der Rechtsvertreter am 20. September 2018 mittels eines einzigen Schreibens mit dem gewünschten Erfolg machte. Mit anderen Worten hätte der Beschwerdeführer die Betreibungen und den anwaltlichen Aufwand seinerseits mit geringem Aufwand vermeiden können, indem er seiner Mitwirkungspflicht nachgekommen wäre. Damit ist die adäquate Kausalität zwischen dem Fehlverhalten der Beschwerdegegnerin und dem vom Beschwerdeführer geltend gemachten Schaden (entstandene Anwaltskosten) zu verneinen. Dass der Beizug eines Anwalts nicht notwendig war, zeigt ferner die Handhabung der Parteientschädigung im verwaltungsinternen Verfahren. Als Grundsatz gilt, dass eine Vertretungsmöglichkeit zwar prinzipiell besteht, die sozialversicherungsrechtlichen Verfahren aufgrund ihrer einfachen Ausgestaltung aber keinen Beizug einer Rechtsvertretung erfordern ( Ueli Kieser , ATSG Kommentar, 3. Auflage Zürich/Basel/Genf 2015, Art. 37 N 8). Soweit eine Vertretung beigezogen wird, ist deren Aufwand selber zu entschädigen ( Ueli Kieser , a.a.O., Art. 37 N 26). Die Ausnahme hiervon ergibt sich aus Art. 37 Abs. 4 ATSG, wonach ein unentgeltlicher Rechtsbeistand bewilligt wird, wenn es die Verhältnisse erfordern. Dabei gelten die Voraussetzungen der finanziellen Bedürftigkeit, der fehlenden Aussichtlosigkeit und des Erfordernisses einer Rechtsvertretung ( Ueli Kieser , a.a.O., Art. 37 N 37). Das dritte Kriterium wird im Verwaltungsverfahren - im Unterschied zum Gerichtsverfahren - streng gehandhabt. Danach wird eine unentgeltliche Verbeiständung nur in besonderen Umständen, wie beispielsweise bei besonders schwierigen Sachverhaltsabklärungen oder heiklen rechtlichen Fragen, gewährt (BGE 125 V 35 f. E. 4b). Solche Umstände liegen hier nicht vor. Soweit der Beschwerdeführer den Eindruck hatte, dennoch eine Dritthilfe zu benötigen, hätte er sich - wie von der Beschwerdegegnerin zu Recht vorgebracht - an die Ombudsstelle für Krankenkassen wenden können. 4.3 Aufgrund der fehlenden Notwendigkeit des Beizugs einer Rechtsvertretung (vgl. E. 4.2 hiervor) entfällt auch die Kausalität bezüglich der Anwaltskosten, welche ab der E-Mail vom 13. November 2018 bis und mit dem Einspracheverfahren entstanden sind. 4.4 Zusammengefasst ist die adäquate Kausalität zwischen den als Schaden geltend gemachten Anwaltskosten und dem Fehlverhalten der Beschwerdegegnerin zu verneinen. Damit trifft die Beschwerdegegnerin gestützt auf Art. 7 Abs. 6 KVG keine Schadenersatzpflicht. 5.1 Der Beschwerdeführer macht seine Anwaltskosten ferner gestützt auf Art. 52 Abs. 3 ATSG geltend. Danach werde die Parteientschädigung im Einspracheverfahren in der Regel zwar nicht ausgerichtet. Unter Berücksichtigung der besonderen Umstände des konkreten Einzelfalls sehe diese Bestimmung jedoch die Zusprechung einer Parteientschädigung im Einspracheverfahren vor. Demgegenüber verneint die Beschwerdegegnerin ihre diesbezügliche Entschädigungspflicht, denn die einzige Ausnahme von Art. 52 Abs. 3 ATSG sei, dass der obsiegende Einsprecher im Falle des Unterliegens die unentgeltliche Verbeiständung hätte beanspruchen können. Dies falle im vorliegenden Fall ausser Betracht. 5.2 Art. 52 Abs. 3 Satz 1 ATSG hält fest, dass das Einspracheverfahren vor dem Versicherungsträger kostenlos ist. Parteientschädigungen werden laut Satz 2 der genannten Bestimmung in der Regel nicht ausgerichtet. Dieser Grundsatz bezieht sich auf das Einspracheverfahren, nicht aber auf das vorangehende nichtstreitige Verwaltungsverfahren (BGE 140 V 116 E. 3.3 f.). Die Anwaltskosten, welche vor Einleitung des Einspracheverfahrens entstanden, fallen nicht in den Anwendungsbereich von Art. 52 Abs. 3 ATSG. 5.3.1 In Bezug auf die im Einspracheverfahren entstandenen Anwaltskosten stellt sich die Frage, unter welchen Voraussetzungen vom Grundsatz der Nichtausrichtung gemäss Art. 52 Abs. 3 Satz 2 ATSG abgewichen werden kann, und ob im vorliegenden Fall ein derartiger Ausnahmetatbestand gegeben ist. 5.3.2 Gemäss bundesgerichtlicher Rechtsprechung ist die Zusprechung einer Parteientschädigung bei einer Gutheissung der Einsprache möglich, wenn der obsiegenden Partei eine unentgeltliche Vertretung bestellt wurde (Art. 37 Abs. 4 ATSG; BGE 130 V 573 E. 2.2). Die Frage, ob die Zusprechung einer Parteientschädigung auch bei Vorliegen besonderer Umstände und zwar unabhängig der Bewilligung einer unentgeltlichen Vertretung zulässig ist, verneint das Bundesgericht in seinem Urteil vom 28. Mai 2018, 9C_877/2017 E. 8.2. In diesem Zusammenhang kommt es zum Schluss, dass die ausnahmsweise Zusprechung einer Parteientschädigung im Einspracheverfahren durch den Versicherungsträger mit Blick auf die Entstehungsgeschichte von Art. 52 Abs. 3 ATSG einzig dem obsiegenden Einsprecher zustehe, welcher nicht über die erforderlichen Mittel verfügt, um die Anwaltskosten selber zu tragen, und welcher im Falle des Unterliegens die unentgeltliche Verbeiständung (Art. 37 Abs. 4 ATSG) hätte beanspruchen können. Die Ausrichtung einer Parteientschädigung setzt demzufolge in jedem Fall das Obsiegen des Einsprechers voraus. Damit kann dem Beschwerdeführer vorliegend gestützt auf Art. 52 Abs. 3 ATSG schon deshalb keine Parteientschädigung ausgerichtet werden, weil er im Einspracheverfahren zu Recht unterlag (vgl. E. 4.1 bis 4.3 hiervor).</w:t>
      </w:r>
    </w:p>
    <w:p>
      <w:r>
        <w:rPr>
          <w:b/>
        </w:rPr>
        <w:t>E. 6</w:t>
      </w:r>
    </w:p>
    <w:p>
      <w:r>
        <w:t>Zusammenfassend ist festzuhalten, dass die Beschwerdegegnerin gestützt auf Art. 7 Abs. 6 KVG keine Schadenersatzpflicht trifft und gestützt auf Art. 52 Abs. 3 ATSG keine Parteientschädigung auszurichten hat. Die Beschwerde ist deshalb vollumfänglich abzuweisen.</w:t>
      </w:r>
    </w:p>
    <w:p>
      <w:r>
        <w:rPr>
          <w:b/>
        </w:rPr>
        <w:t>E. 7</w:t>
      </w:r>
    </w:p>
    <w:p>
      <w:r>
        <w:t>Das Verfahren ist für die Parteien gemäss Art. 61 lit. a ATSG kostenlos, sodass keine Verfahrenskosten zu erheben sind. Dem Ausgang des Verfahrens entsprechend wird keine Parteientschädigung zugesprochen. Demgemäss wird erkannt: 1. Die Beschwerde wird abgewiesen. 2. Es werden keine Verfahrenskosten erhoben.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