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730 19 178 / 59 vom 13. April 2019</w:t>
      </w:r>
    </w:p>
    <w:p>
      <w:r>
        <w:t>BL Gerichte, 2019-04-13, DE</w:t>
      </w:r>
    </w:p>
    <w:p>
      <w:r>
        <w:rPr>
          <w:b/>
        </w:rPr>
        <w:t xml:space="preserve">Quelle: </w:t>
      </w:r>
      <w:r>
        <w:t>https://mcp.opencaselaw.ch/entscheid/bl_gerichte_730_19_178___59</w:t>
      </w:r>
    </w:p>
    <w:p>
      <w:r>
        <w:t>FR: BL_GERICHTE 730 19 178 / 59 du 13 avril 2019</w:t>
      </w:r>
    </w:p>
    <w:p>
      <w:r>
        <w:t>IT: BL_GERICHTE 730 19 178 / 59 del 13 aprile 2019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vollumfänglich abgewiesen.</w:t>
      </w:r>
    </w:p>
    <w:p>
      <w:r>
        <w:rPr>
          <w:b/>
        </w:rPr>
        <w:t>E. 2</w:t>
      </w:r>
    </w:p>
    <w:p>
      <w:r>
        <w:t>Der Rechtsvorschlag in der Betreibung Nr. XXX des Betreibungsamtes B.____ (Zahlungsbefehl vom 6. November 2018) wird für den Betrag von Fr. 5'069.40 aufgehoben und es wird der Beschwerdegegnerin die definitive Rechtsöffnung erteilt.</w:t>
      </w:r>
    </w:p>
    <w:p>
      <w:r>
        <w:rPr>
          <w:b/>
        </w:rPr>
        <w:t>E. 3</w:t>
      </w:r>
    </w:p>
    <w:p>
      <w:r>
        <w:t>Die Betreibungskosten von insgesamt Fr. 73.30 werden dem Beschwerdeführer auferlegt.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Eine Parteientschädigung wird dem Beschwerdeführer nicht zugesprochen. Gegen diesen Entscheid wurde am 22. April 2021 Beschwerde beim Bundesgericht (Verfahren-Nr. 9C_238/2021)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