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730 16 58 vom 15. September 2016</w:t>
      </w:r>
    </w:p>
    <w:p>
      <w:r>
        <w:t>BL Gerichte, 2016-09-15, DE</w:t>
      </w:r>
    </w:p>
    <w:p>
      <w:r>
        <w:rPr>
          <w:b/>
        </w:rPr>
        <w:t xml:space="preserve">Quelle: </w:t>
      </w:r>
      <w:r>
        <w:t>https://mcp.opencaselaw.ch/entscheid/bl_gerichte_730_16_58</w:t>
      </w:r>
    </w:p>
    <w:p>
      <w:r>
        <w:t>FR: BL_GERICHTE 730 16 58 du 15 septembre 2016</w:t>
      </w:r>
    </w:p>
    <w:p>
      <w:r>
        <w:t>IT: BL_GERICHTE 730 16 58 del 15 settembre 2016</w:t>
      </w:r>
    </w:p>
    <w:p>
      <w:pPr>
        <w:pStyle w:val="Heading2"/>
      </w:pPr>
      <w:r>
        <w:t>Regeste</w:t>
      </w:r>
    </w:p>
    <w:p>
      <w:r>
        <w:t>Krankenversicherung Übernahme der Kosten für eine zahnärztliche Behandlung nach Art. 17 - 19 KLV; für Karies- und Plaqueschäden, die Folgen einer Chemotherapie eines Lymphoms des Zentralnervensystems sind, ist die Krankenkasse nicht leistungspflichtig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Gegen diesen Entscheid wurde vom Beschwerdeführer am 17. Januar 2017 Beschwerde beim Bundesgericht (Verfahren-Nr. 9C_50/2017)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