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730 14 349 / 10 vom 13. Januar 2016</w:t>
      </w:r>
    </w:p>
    <w:p>
      <w:r>
        <w:t>BL Gerichte, 2016-01-13, DE</w:t>
      </w:r>
    </w:p>
    <w:p>
      <w:r>
        <w:rPr>
          <w:b/>
        </w:rPr>
        <w:t xml:space="preserve">Quelle: </w:t>
      </w:r>
      <w:r>
        <w:t>https://mcp.opencaselaw.ch/entscheid/bl_gerichte_730_14_349___10</w:t>
      </w:r>
    </w:p>
    <w:p>
      <w:r>
        <w:t>FR: BL_GERICHTE 730 14 349 / 10 du 13 janvier 2016</w:t>
      </w:r>
    </w:p>
    <w:p>
      <w:r>
        <w:t>IT: BL_GERICHTE 730 14 349 / 10 del 13 gennaio 2016</w:t>
      </w:r>
    </w:p>
    <w:p>
      <w:pPr>
        <w:pStyle w:val="Heading2"/>
      </w:pPr>
      <w:r>
        <w:t>Regeste</w:t>
      </w:r>
    </w:p>
    <w:p>
      <w:r>
        <w:t>Krankenversicherung Der Krankenversicherer verneinte seine Leistungspflicht zur Übernahme der Kosten einer genetischen Laboruntersuchung zu Recht, da die Bedingungen, die in den einleitenden Bemerkungen zur Analysenliste in Anhang 3 KLV formuliert worden sind, nicht erfüllt werden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§ 55 Abs. 1 des Gesetzes über die Verfassungs- und Verwaltungsprozessordnung (VPO) vom 16. Dezember 1993 entscheidet die präsidierende Person der Abteilung Sozialversicherungsrecht des Kantonsgerichts Streitigkeiten bis zu einem Streitwert von Fr. 10'000.-- durch Präsidialentscheid. Vorliegend ist eine Kostengutsprache im Umfang von Fr. 3‘386.-- zu beurteilen. Über die Beschwerde ist demnach präsidial zu entscheiden. Auf die frist- und formgerechte Beschwerde ist einzutreten.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ausserordentlichen Kosten werden wettgeschlagen. http://www.bl.ch/kantonsgericht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