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22 6 / 221 vom 29. September 2022</w:t>
      </w:r>
    </w:p>
    <w:p>
      <w:r>
        <w:t>BL Gerichte, 2022-09-29, DE</w:t>
      </w:r>
    </w:p>
    <w:p>
      <w:r>
        <w:rPr>
          <w:b/>
        </w:rPr>
        <w:t xml:space="preserve">Quelle: </w:t>
      </w:r>
      <w:r>
        <w:t>https://mcp.opencaselaw.ch/entscheid/bl_gerichte_725_22_6___221</w:t>
      </w:r>
    </w:p>
    <w:p>
      <w:r>
        <w:t>FR: BL_GERICHTE 725 22 6 / 221 du 29 septembre 2022</w:t>
      </w:r>
    </w:p>
    <w:p>
      <w:r>
        <w:t>IT: BL_GERICHTE 725 22 6 / 221 del 29 settembre 2022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beim örtlich und sachlich zuständigen Gericht und im Weiteren form- und fristgerecht eingereichte Beschwerde ist einzutreten.</w:t>
      </w:r>
    </w:p>
    <w:p>
      <w:r>
        <w:rPr>
          <w:b/>
        </w:rPr>
        <w:t>E. 2</w:t>
      </w:r>
    </w:p>
    <w:p>
      <w:r>
        <w:t>Streitig und zu prüfen ist, ob die Versicherte über den 9. Juni 2020 hinaus Anspruch auf Leistungen aus der obligatorischen Unfallversicherung hat.</w:t>
      </w:r>
    </w:p>
    <w:p>
      <w:r>
        <w:rPr>
          <w:b/>
        </w:rPr>
        <w:t>E. 3</w:t>
      </w:r>
    </w:p>
    <w:p>
      <w:r>
        <w:t>Die AXA Versicherungen AG hat der Beschwerdeführerin eine Parteientschädigung in der Höhe von Fr. 2‘254.-- (inkl. Auslagen und 7,7%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