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52 / 115 vom 11. Mai 2023</w:t>
      </w:r>
    </w:p>
    <w:p>
      <w:r>
        <w:t>BL Gerichte, 2023-05-11, DE</w:t>
      </w:r>
    </w:p>
    <w:p>
      <w:r>
        <w:rPr>
          <w:b/>
        </w:rPr>
        <w:t xml:space="preserve">Quelle: </w:t>
      </w:r>
      <w:r>
        <w:t>https://mcp.opencaselaw.ch/entscheid/bl_gerichte_725_22_52___115</w:t>
      </w:r>
    </w:p>
    <w:p>
      <w:r>
        <w:t>FR: BL_GERICHTE 725 22 52 / 115 du 11 mai 2023</w:t>
      </w:r>
    </w:p>
    <w:p>
      <w:r>
        <w:t>IT: BL_GERICHTE 725 22 52 / 115 del 11 maggio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Beschwerde zuständig. Auf die im Übrigen frist- und formgerecht erhobene Beschwerde vom 7. Februar 2022 ist einzutreten.</w:t>
      </w:r>
    </w:p>
    <w:p>
      <w:r>
        <w:rPr>
          <w:b/>
        </w:rPr>
        <w:t>E. 2</w:t>
      </w:r>
    </w:p>
    <w:p>
      <w:r>
        <w:t>Es werden keine Verfahrenskosten erhoben.</w:t>
      </w:r>
    </w:p>
    <w:p>
      <w:r>
        <w:rPr>
          <w:b/>
        </w:rPr>
        <w:t>E. 3</w:t>
      </w:r>
    </w:p>
    <w:p>
      <w:r>
        <w:t>Die AXA Versicherungen AG hat dem Beschwerdeführer eine Parteienschädigung in der Höhe von Fr.4'365.80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