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20/171 vom 28. Juli 2022</w:t>
      </w:r>
    </w:p>
    <w:p>
      <w:r>
        <w:t>BL Gerichte, 2022-07-28, DE</w:t>
      </w:r>
    </w:p>
    <w:p>
      <w:r>
        <w:rPr>
          <w:b/>
        </w:rPr>
        <w:t xml:space="preserve">Quelle: </w:t>
      </w:r>
      <w:r>
        <w:t>https://mcp.opencaselaw.ch/entscheid/bl_gerichte_725_22_20_171</w:t>
      </w:r>
    </w:p>
    <w:p>
      <w:r>
        <w:t>FR: BL_GERICHTE 725 22 20/171 du 28 juillet 2022</w:t>
      </w:r>
    </w:p>
    <w:p>
      <w:r>
        <w:t>IT: BL_GERICHTE 725 22 20/171 del 28 luglio 2022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F.____,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am 19. Januar 2022 beim Kantonsgericht eingegangene - im Übrigen frist- und formgerecht erhobene - Beschwerde ist demnach einzutreten.</w:t>
      </w:r>
    </w:p>
    <w:p>
      <w:r>
        <w:rPr>
          <w:b/>
        </w:rPr>
        <w:t>E. 2</w:t>
      </w:r>
    </w:p>
    <w:p>
      <w:r>
        <w:t>Streitig und im Folgenden zu prüfen ist, ob die Beschwerdegegnerin ihre Versicherungsleistungen für das Unfallereignis vom 5. April 2021 zu Recht per 19. September 2021 einstellte und über diesen Zeitpunkt hinausgehende Leistungen verneinte.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und Berufskrankheiten (Heilbehandlung), wobei der Unfallversicherer die Pflegeleistungen so lange zu erbringen hat, als davon eine namhafte Besserung des Gesundheitszustands erwartet werden kann (Art. 19 Abs. 1 Satz 1 UVG). Ist die versicherte Person infolge des Unfalles voll oder teilweise arbeitsunfähig, so hat sie gemäss Art. 16 Abs. 1 UVG Anspruch auf ein Taggeld. Der Anspruch entsteht gemäss Art. 16 Abs. 2 UVG am dritten Tag nach dem Unfalltag und erlischt mit der Wiedererlangung der vollen Arbeitsfähigkeit, mit dem Beginn einer Rente oder mit dem Tod der versicherten Person. Das Taggeld beträgt bei voller Arbeitsunfähigkeit 80% des versicherten Verdienstes. Bei teilweiser Arbeitsunfähigkeit wird es entsprechend gekürzt (Art. 17 Abs. 1 UVG). 3.2 Die Leistungspflicht eines Unfallversicherers gemäss UVG setzt unter anderem voraus, dass zwischen dem versicherten Ereignis (Unfall, unfallähnliche Körperschädigung oder Berufskrankheit) und dem eingetretenen Schaden (Krankheit, Arbeitsunfähigkeit, Invalidität, Integritätsschädigung)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Die Leistungspflicht des Unfallversicherers setzt im Weiteren voraus, dass zwischen dem versicherten 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125 V 456 E. 5a mit Hinweisen). 3.3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Person, sondern beim Unfallversicherer. Diese Beweisgrundsätze gelten sowohl im Grundfall als auch bei Rückfällen und Spätfolgen und sind für sämtliche Leistungsarten massgebend (Urteil des Bundesgerichts vom 10. Juli 2015, 8C_294/2015, E. 3.2 mit Hinweisen). 4.1 Die Abklärung des für die Beurteilung von Ansprüchen versicherter Personen notwendigen Sachverhalts hat gemäss dem im Sozialversicherungsrecht geltenden Untersuchungsgrundsatz (Art. 43 Abs. 1 ATSG) die verfügende wie auch die eine Verfügung überprüfende Behörde bzw. das Gericht von Amtes wegen vorzunehmen. Demnach haben die Versicherung und das Sozialversicherungsgericht von sich aus, ohne Bindung an die Parteibegehren, für die richtige und vollständige Feststellung des Sachverhalts zu sorgen (BGE 122 V 158 E. 1a). Rechtserheblich sind alle Tatsachen, von deren Vorliegen es abhängt, in welcher Art über die Rechte und Pflichten einer versicherten Person zu entscheiden ist (vgl. Thomas Locher , Grundriss des Sozialversicherungsrechts, 4. Auflage, Bern 2014, § 70 N 4 mit weiteren Hinweisen). 4.2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f.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 In Bezug auf Berichte von behandelnden Ärzten darf und soll das Gericht der Erfahrungstatsache Rechnung tragen, dass diese im Hinblick auf ihre auftragsrechtliche Vertrauensstellung in Zweifelsfällen eher zu Gunsten ihrer Patientinnen und Patienten aussagen (vgl. BGE 125 V 351 E. 3b/cc). Die unterschiedliche Natur von Behandlungsauftrag des bzw. der therapeutisch tätigen (Fach-)Arztes bzw. Ärztin einerseits und von Begutachtungsauftrag des amtlich bestellten fachmedizinischen Experten und Expertinnen anderseits (vgl. BGE 124 I 170 E. 4; Urteil des EVG vom 13. Juni 2001, I 506/00, E. 2b) lässt nicht zu, ein Administrativ- oder Gerichtsgutachten stets in Frage zu stellen und zum Anlass weiterer Abklärungen zu nehmen, wenn die behandelnden Ärzte bzw. Ärztinnen zu anderslautenden Einschätzungen gelangen. Vorbehalten bleiben Fälle, in denen sich eine abweichende Beurteilung aufdrängt, weil die behandelnden Ärzte bzw. Ärztinnen wichtige - und nicht rein subjektiver ärztlicher Interpretation entspringende - Aspekte benennen, die im Rahmen der Begutachtung unerkannt oder ungewürdigt geblieben sind (vgl. Urteil des Bundesgerichts vom 25. Mai 2007, I 514/06, E. 2.2.1, mit Hinweisen). 5.1 Für die Beurteilung des medizinischen Sachverhalts liegen im Wesentlichen die nachfolgenden Unterlagen vor. 5.2 Im Verlaufsbericht vom 19. August 2021 diagnostizierte Dr. E.____ anhand der vorliegenden Bilder der Magnetresonaztomographie (MRT) eine Unterflächenpartialruptur der Subscapularissehne (50% des Sehnendurchmessers) und der Supraspinatussehne. Mit dem Patienten habe er sich auf eine operative Rekonstruktion der Rotatorenmanschette für Ende September 2021 geeinigt. 5.3 Gemäss Kurzstellungnahme des Kreisarztes Dr. C.____ vom 6. September 2021 habe der Unfall vom 5. April 2021 nicht mit überwiegender Wahrscheinlichkeit zu strukturellen Läsionen geführt. Der Versicherte habe sich verspätet ärztlich vorgestellt und der Subscapularistest in der klinischen Untersuchung sei negativ ausgefallen. Insbesondere würden die Veränderungen der Rotatorenmanschette (Tendinitis calcarea der Supraspinatussehne, Arrosion des Tuberculum Minus, die Aufrauhung der Unterfläche des Infraspinatus) mit überwiegender Wahrscheinlichkeit für eine degenerativ bedingte, vorbestehenden Läsion sprechen. Die Unfallfolgen nach der Distorsion der rechten Schulter seien nach zwei bis drei Monaten ausgeheilt. 5.4 Am 14. September 2021 hielt Dr. E.____ fest, dass es sich seiner Meinung nach um eine unfallbedingte Verletzung der Rotatorenmanschette handle. 5.5 Gemäss kreisärztlicher Aktenbeurteilung von Dr. C.____ vom 29. September 2021 zeige sich anhand des durchgeführten MRI eine Unterflächenpartialruptur der Subscapularissehne im ansatznahen mittleren Bereich. Diese Läsion sei in Anbetracht des gesamten MRI-Befunds vom 18. August 2021 mit überwiegender Wahrscheinlichkeit degenerativ bedingt. Es zeige sich eine aufgefaserte Unterfläche der Infraspinatussehne am ventralen Rand im proximalen Drittel, eine fokale längliche Verkalkung der Supraspinatussehne (Tendinopathia calcarea), eine Tendinopathie der Supraspinatussehne und ein Impingement (Einklemmung) der Supraspinatussehne im Bereich des Subacromialraumes. Nebenbefundlich zeige sich eine aktivierte AC-Gelenksarthrose mit Osteophyten, welche ebenso zu der Impingement-Symptomatik beitragen würde. Zudem spreche auch die Erosion im Bereich des Ansatzes der Subscapularissehne am Tuberculum majus für eine degenerative Ursache. Die Verletzung sei vom Versicherten initial als Prellung interpretiert worden, was eine deutlich verspätete ärztliche Vorstellung von vier Monaten nach dem Unfallgeschehen erkläre. Gehe man davon aus, dass die Partialläsion der Subscapularissehne frisch und somit unfallkausal auf das Ereignis vom 5. April 2021 zurückzuführen sei, wäre eine erhebliche und unmittelbare Beschwerdesymptomatik und eine ebenso erhebliche Funktionseinschränkung zu erwarten gewesen. Der Versicherte habe jedoch noch in seiner selbständigen Tätigkeit arbeiten können. Dies mache eine Unfallkausalität wenig wahrscheinlich. Bei einer Unfallkausalität hätte der Subscapularissehnentest positiv ausfallen müssen. Positive Tests hätten sich im Rahmen der Untersuchung vom 13. August 2021 allerdings nur für die Supraspinatussehne und die lange Bizepssehne gezeigt. Diese Beschwerden seien degenerativ bedingt. Dies werde durch das MRI vom 18. August 2021 bestätigt. Aufgrund der subacromialen Einengung komme es zu einem Impingement der Supraspinatussehne. Passend dazu zeige die Supraspinatussehne eindeutige Zeichen der Degeneration im Sinne einer Tendinose und insbesondere einer Tendinopathia calcarea (Verkalkung der Sehne). Auch diese Befunde seien degenerativ bedingt, insbesondere auch deshalb, da es bis zur Ausbildung einer Tendinopathia calcarea mehrere Monate bis Jahre dauere. Darüber hinaus fehle es im MRI an einer Begleitverletzung, welche für eine Unfallkausalität sprechen würde. Die von Dr. E.____ beschriebene zusätzliche Läsion der Supraspinatussehne rechts könne anhand des MRI-Befunds vom 18. August 2021 nicht reproduziert werden. Auch hier zeige sich eine degenerativ veränderte Supraspinatussehne mit einer Tendinopathia calcarea und einer Tendinose im Rahmen einer Impingement-Symptomatik, was auf eine AC-Gelenksarthrose und Einengung des subacromialen Raums zurückzuführen sei. Es sei deshalb am Unfalltag zu einer Distorsion der rechten Schulter gekommen, welche nach zwei bis drei Monaten folgenlos ausgeheilt sei. Hernach sei dann der vorbestehende, degenerative und krankheitsbedingte Zustand wieder erreicht. 5.6 Mit E-Mail vom 1. November 2021 hielt Dr. E.____ fest, dass zwei Sehnenverletzungen vorlägen. Im Vordergrund stehe die Problematik an der Supraspinatussehne, welche traumatisch bedingt sei. Bezüglich der verspäteten Vorstellung verwies er auf die Meinung der Schweizerischen Expertengruppe der Schulter- und Ellbogenchirurgie. Diese konstatiere, dass die Betroffenen nach einer Verletzung der Rotatorenmanschette initial einen sehr heftigen Schmerz verspüren würden, der nach drei Tagen tolerabel werde. Deshalb würden Patienten oftmals initial keinen Arzt konsultieren (vgl. Alexander Lädermann et. al., Degenerative oder traumatische Läsionen der Rotatorenmanschette, Swiss Medical Forum, Ausgabe 2019/15-16, S. 260-267). Genau dies sei beim Patienten eingetreten, indem er die Beschwerden zuerst als Prellung interpretiert habe und dann verzögert beim Hausarzt vorstellig geworden sei. 5.7 In seiner Stellungnahme vom 11. November 2021 hielt Dr. C.____ fest, dass die fachärztliche Beurteilung erst im August 2021 erfolgt sei. Der Hausarzt Dr. med. G.____, FMH Allgemeine Medizin, habe zuvor lediglich eine Physiotherapie initiiert. Er verwies darauf, dass gemäss den Aussagen des Versicherten bis zur Operation keine Arbeitsunfähigkeit bestanden habe. Dies sei bei einer frischen Ruptur der Subscapularissehne wenig wahrscheinlich, da eine solche mit einer erheblichen Beschwerdesymptomatik einhergehe. Die Verletzung der Supraspinatussehne sei deshalb überwiegend wahrscheinlich degenerativ bedingt. 6.1 Die Vorinstanz stützt sich bei der Beurteilung des vorliegend strittigen medizinischen Sachverhalts auf die Ergebnisse, zu denen Kreisarzt Dr. C.____ in seinen Beurteilungen vom 6. und 29. September 2021 sowie vom 11. November 2021 gelangt war. Demgemäss ging sie davon aus, dass es am Unfalltag zu einer Distorsion der rechten Schulter gekommen sei. Die unfallkausalen Beschwerden seien allerdings nach zwei bis drei Monaten folgenlos ausgeheilt. Zumindest sei dann der vorbestehende, degenerative und krankheitsbedingte Zustand wieder erreicht, weshalb sie die Leistungen per 19. September 2021 einstellte. 6.2 Dieser Auffassung kann nicht gefolgt werden. Wie bereits in Erwägung 3.3 erwähnt, entfällt die Leistungspflicht der Unfallversicherung erst, wenn der Unfall nicht mehr die natürliche und adäquate Ursache des Gesundheitsschadens darstellt, wenn also Letzterer nur noch und ausschliesslich auf unfallfremden Ursachen beruht, wofür die Beschwerdegegnerin die Beweislast trägt. Dies gelingt ihr gestützt auf die Ausführungen des Kreisarztes Dr. C.____ nicht. Dr. C.____ führte in seinen Berichten vom 6. und 29. September 2021 aus, dass die Auswirkungen des unbestrittenen Unfalls und der daraus resultierenden Schmerzsituation nach zwei bis drei Monaten folgenlos ausgeheilt seien. Eine nachvollziehbare Begründung hierzu fehlt jedoch. Der Kreisarzt führt nicht aus, inwiefern der Unfall auf die vorbestehenden degenerativen Veränderungen gewirkt habe und weshalb eine Operation auch ohne Unfall hätte durchgeführt werden müssen. Die Beurteilung von Dr. C.____ ist diesbezüglich also weder schlüssig noch einleuchtend. Es fehlt an einer Begründung, weshalb der Status quo sine vel ante bereits am 19. September 2021 erreicht worden sei. Weiter ist Dr. C.____ der Meinung, dass bei einer frischen und unfallkausalen Läsion der Subscapularissehne eine erhebliche und unmittelbare Beschwerdesymptomatik und erhebliche Funktionseinschränkung zu erwarten gewesen wäre. Der Versicherte habe sich allerdings erst verspätet ärztlich vorgestellt und noch in seiner selbständigen Tätigkeit arbeiten können. Dies mache eine Unfallkausalität wenig wahrscheinlich. Demgegenüber begründete Dr. E.____ in seiner E-Mail vom 1. November 2021 die verspätete ärztliche Vorstellung mit Fachliteratur belegend damit, dass laut der Schweizerischen Expertengruppe der Schulter- und Ellbogenchirurgie die Betroffenen einer Rotatorenmanschettenverletzung initial einen sehr heftigen Schmerz verspüren würden, dieser aber nach drei Tagen tolerabel werden würde. Deshalb würden Patienten oftmals initial keinen Arzt konsultieren. Dies würde im vorliegenden Fall die fehlende initiale Funktionseinschränkung erklären. Da Dr. C.____ in seinen Stellungnahmen nicht auf diesen Umstand einging, besteht ein ungelöster Widerspruch zwischen den Beurteilungen der beiden Ärzte. 6.3 Zusammenfassend ist somit festzuhalten, dass vorliegend Zweifel an der Zuverlässigkeit und Schlüssigkeit der von der Beschwerdegegnerin als massgeblich erachteten versicherungsinternen Beurteilung des Kreisarztes Dr. C.____ bestehen. Insbesondere liegen in Bezug auf den Zeitpunkt der Leistungseinstellung zumindest leichte Zweifel an der Zuverlässigkeit und Schlüssigkeit der kreisärztlichen Beurteilung von Dr. C.____ vor, sodass sich der medizinische Sachverhalt als ungenügend abgeklärt erweist. Deshalb ist abschliessend nicht darauf abzustellen und der angefochtene Einspracheentscheid aufzuheben. Im Hinblick auf das weitere Vorgehen gilt es zu berücksichtigen, dass die Suva den medizinischen Sachverhalt bisher lediglich versicherungsintern durch Dr. C.____ hat beurteilen lassen, wobei die von der Suva im Verwaltungsverfahren getroffenen Abklärungen letztlich als nicht ausreichend zu bezeichnen sind. Vor diesem Hintergrund rechtfertigt es sich, die Angelegenheit an die Suva zurückzuweisen. Diese wird nunmehr ein versicherungsexternes Gutachten mit fachärztlichen Untersuchungen einzuholen haben. Darin ist allen voran abzuklären, inwiefern der Unfall auf die vorbestehenden degenerativen Veränderungen gewirkt hat und ab wann diese Beschwerden nicht mehr unfallkausal sein sollen. Anschliessend wird die Suva gestützt auf die Ergebnisse der Aktenergänzung über den Leistungsanspruch des Versicherten neu zu befinden haben. Die vorliegende Beschwerde ist in diesem Sinne gutzuheissen.</w:t>
      </w:r>
    </w:p>
    <w:p>
      <w:r>
        <w:rPr>
          <w:b/>
        </w:rPr>
        <w:t>E. 7</w:t>
      </w:r>
    </w:p>
    <w:p>
      <w:r>
        <w:t>Es bleibt über die Kosten des Verfahrens zu befinden.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UVG keine Kostenpflicht vorsieht und sich die Parteien weder mutwillig noch leichtsinnig verhalten haben, sind für das vorliegende Verfahren keine Kosten zu erheben. Der nicht anwaltlich vertretene Beschwerdeführer hat keinen Anspruch auf eine Parteientschädigung (vgl. Art. 61 lit. g ATSG e contrario).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anschliessender Neuverfügung nicht um einen Endentscheid, sondern um einen Zwischenentscheid im Sinne von Art. 93 Abs. 1 BGG. Dies gilt auch für einen Rückweisungsentscheid, mit dem eine materielle Teilfrage beantwortet wird (BGE 133 V 477 E. 4.2). 8.2 Der vorliegende Entscheid erweist sich als Zwischenentscheid im Sinne des BGG, weshalb gegen ihn eine Beschwerde in öffentlich-rechtlichen Angelegenheiten an das Bundesgericht nur unter den in Art. 93 Abs. 1 BGG genannten Voraussetzungen zulässig ist und die nachstehende Rechtsmittelbelehrung ausdrücklich unter diesem Vorbehalt erfolgt. Demgemäss wird erkannt: ://: 1. Die Beschwerde wird in dem Sinne gutgeheissen, als der angefochtene Einspracheentscheid vom 29. November 2021 aufgeboben und die Angelegenheit zu weiteren Abklärungen im Sinne der Erwägungen und zum Erlass einer neuen Verfügung an die Beschwerdegegnerin zurückgewiesen wird.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