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20 190 / 308 vom 11. April 2019</w:t>
      </w:r>
    </w:p>
    <w:p>
      <w:r>
        <w:t>BL Gerichte, 2019-04-11, DE</w:t>
      </w:r>
    </w:p>
    <w:p>
      <w:r>
        <w:rPr>
          <w:b/>
        </w:rPr>
        <w:t xml:space="preserve">Quelle: </w:t>
      </w:r>
      <w:r>
        <w:t>https://mcp.opencaselaw.ch/entscheid/bl_gerichte_725_20_190___308</w:t>
      </w:r>
    </w:p>
    <w:p>
      <w:r>
        <w:t>FR: BL_GERICHTE 725 20 190 / 308 du 11 avril 2019</w:t>
      </w:r>
    </w:p>
    <w:p>
      <w:r>
        <w:t>IT: BL_GERICHTE 725 20 190 / 308 del 11 aprile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18. Mai 2020 ist demnach einzutreten.</w:t>
      </w:r>
    </w:p>
    <w:p>
      <w:r>
        <w:rPr>
          <w:b/>
        </w:rPr>
        <w:t>E. 2</w:t>
      </w:r>
    </w:p>
    <w:p>
      <w:r>
        <w:t>Im vorliegenden Fall hat die Beschwerdegegnerin ihre Leistungspflicht für den Unfall vom 5. November 2019 anerkannt. Strittig ist jedoch, ob die gesetzlichen Leistungen durch den Unfallversicherer zu Recht per 5. Februar 2019 eingestellt wurden bzw. ob die danach angefallenen Kosten für die Arthroskopie vom 8. März 2019 sowie Taggeldleistungen vom 8. März bis mindestens 31. März 2019 - als Folge der Arthroskopie - von der Beschwerdegegnerin zu erbringen sind.</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Zu dieser vom Unfallversicherer zu übernehmenden Heilbehandlung gehören unter anderem die ärztlich verordneten Nach- und Badekuren (Art. 10 Abs. 1 lit. d UVG).</w:t>
      </w:r>
    </w:p>
    <w:p>
      <w:r>
        <w:rPr>
          <w:b/>
        </w:rPr>
        <w:t>E. 2.2</w:t>
      </w:r>
    </w:p>
    <w:p>
      <w:r>
        <w:t>Die Leistungspflicht eines Unfallversicherers gemäss UVG setzt unter anderem voraus, dass zwischen dem versicherten Ereignis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Nach der strengen bundesgerichtlichen Rechtsprechung betreffend die Unfallkausalität von operativen Eingriffen ist diese selbst dann gegeben, wenn der betreffende Schaden auch ohne das Unfallereignis früher oder später eingetreten wäre und der Unfall somit nur hinsichtlich des Zeitpunkts des Schadenseintritts eine unerlässliche Bedingung ("conditio sine qua non") darstellte. Anders verhält es sich lediglich dann,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7. Juli 2016, 8C_337/2016, E. 4.1.1).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des Bundesgerichts vom 23. September 2014, 8C_419/2014, E. 3.2 mit Hinweisen).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3.3 In Bezug auf Berichte von behandelnden Ärzten darf und soll das Gericht der Erfahrungstatsache Rechnung tragen, dass diese mitunter im Hinblick auf ihre auftragsrechtliche Vertrauensstellung in Zweifelsfällen eher zu Gunsten ihrer Patientinnen und Patienten aussagen (BGE 135 V 465 E. 4.5).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29. Oktober 2014, 8C_677/2014, E. 7.2).</w:t>
      </w:r>
    </w:p>
    <w:p>
      <w:r>
        <w:rPr>
          <w:b/>
        </w:rPr>
        <w:t>E. 4</w:t>
      </w:r>
    </w:p>
    <w:p>
      <w:r>
        <w:t>Grundsätzlich ist erwiesen und auch unbestritten, dass die über den 5. Februar 2019 anhaltenden Beschwerden am linken Handgelenk des Beschwerdeführers, welche zu einer MRT-Abklärung vom 8. Februar 2019 und danach zum arthroskopischen Eingriff vom 8. März 2019 geführt haben, in keinem kausalen Verhältnis zum Unfall vom 5. November 2018 standen, sondern einen krankhaften Ursprung hatten. So hält der vom Beschwerdeführer mit seiner Beschwerde eingereichte Bericht des behandelnden Handchirurgen Dr. med. D.____, FMH Handchirurgie und FMH Orthopädische Chirurgie und Traumatologie des Bewegungsapparates, vom 16. Mai 2019 fest, dass am 8. März 2019 während der Probebiopsie in der Histologie eine Riesenzellsynovialitis des Handgelenks gefunden und am 11. April 2019 die totale Synovektomie bei diesem lokal aggressiv wachsenden, benignen Tumor durchgeführt worden sei. Die Tatsache, dass im Jahr 2013 dieser Tumor bereits am gleichen Handgelenk während einer Operation gefunden worden sei, untermauere das vorherige Vorhandensein des Tumors bereits vor dem Unfall vom 5. November 2018. Es sei bekannt, dass diese Tumoren häufig klinisch erst nach einem Unfall oder Bagatellunfall auffällig würden. Im Rahmen der diagnostischen Arthroskopie habe eine Unfallfolge ausgeschlossen werden können, nachdem auch das vorgängige MRI hinsichtlich Verletzungsfolge unauffällig gewesen sei. Man könne sich nun darüber streiten, ob nach einer Handgelenksdistorsion, welche offensichtlich und nachweislich ohne strukturelle Läsion vorgelegen habe, die Wiederherstellung des Zustandes im Vergleich zu vor dem Unfall drei Monate dauere oder länger. In der Regel seien es aber drei Monate. Die diagnostische Arthroskopie vom 8. März 2019 sei zum Ausschluss von Unfallfolgen durchgeführt worden und könne bei entsprechendem Goodwill der Unfallversicherung als Unfallbehandlung abgegolten werden. Bei unauffälligem Befund nach einer diagnostischen Arthroskopie sei mit einer Rehabilitation von zwei bis vier Wochen zu rechnen. Die gefundene Riesenzellsynovialitis des Handgelenks könne aber nicht mit dem Unfall in Verbindung gebracht werden. Die aktuellen Beschwerden des Beschwerdeführers sowie die Bewegungseinschränkung seien am ehesten auf die totale Synovektomie zurückzuführen und damit auf die vorhandene Erkrankung mit der Riesenzellsynovialitis.</w:t>
      </w:r>
    </w:p>
    <w:p>
      <w:r>
        <w:rPr>
          <w:b/>
        </w:rPr>
        <w:t>E. 5</w:t>
      </w:r>
    </w:p>
    <w:p>
      <w:r>
        <w:t>Der Beschwerdeführer macht nun aber geltend, dass gestützt auf Art. 45 Abs. 1 ATSG der Versicherer die Kosten für die diagnostische Arthroskopie vom 8. März 2019 und die anschliessende Arbeitsunfähigkeit zu übernehmen habe.</w:t>
      </w:r>
    </w:p>
    <w:p>
      <w:r>
        <w:rPr>
          <w:b/>
        </w:rPr>
        <w:t>E. 5.1</w:t>
      </w:r>
    </w:p>
    <w:p>
      <w:r>
        <w:t>Gemäss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Die Beschwerdegegnerin hat die Arthroskopie nicht angeordnet. Der Beschwerdeführer wendet aber ein, dass die Arthroskopie diagnostische Zwecke verfolgt habe; sie habe nämlich zum Ziel gehabt, Unfallfolgen nachzuweisen oder auszuschliessen. Die Arthroskopie sei daher zur Beurteilung des Anspruches unerlässlich gewesen, so dass sie von der Allianz hätte angeordnet werden müssen.</w:t>
      </w:r>
    </w:p>
    <w:p>
      <w:r>
        <w:rPr>
          <w:b/>
        </w:rPr>
        <w:t>E. 5.2</w:t>
      </w:r>
    </w:p>
    <w:p>
      <w:r>
        <w:t>Praxisgemäss hat eine Versicherung eine Abklärung anzuordnen und zu bezahlen, wenn die entsprechende Abklärung im Rahmen ihrer Untersuchungspflicht unerlässlich gewesen ist (Urteil des Bundesgerichts vom 3. September 2015, 9C_858/2014, E. 6). Der Beschwerdeführer wurde nach dem Unfall vom 5. November 2018 gleichentags auf der Notfallstation klinisch untersucht und radiologisch abgeklärt. Die radiologische Abklärung der linken Hand hat ergeben, dass keine ossären Läsionen und keine frischen Blutungen vorlagen. Klinisch wurde in Bezug auf das linke Handgelenk eine Kontusion diagnostiziert. Wie der behandelnde Handchirurg bestätigt hat, heilt eine Kontusion in der Regel innert drei Monaten aus, so dass bei anhaltenden Beschwerden in der Regel nicht mit überwiegender Wahrscheinlichkeit von unfallkausalen Beschwerden auszugehen ist. Folglich ist fraglich, ob die Beschwerdegegnerin im Rahmen des Untersuchungsgrundsatzes weitere Abklärungen hätte vornehmen müssen. Immerhin ist einzuräumen, dass aufgrund der Röntgenuntersuchung am Unfalltag eine unfallbedingte Sehnen- oder Bänderverletzung nicht ausgeschlossen werden konnte und dass die MRI-Abklärung vom 8. Februar 2019 nur 3 Tage nach Ablauf der dreimonatigen Frist seit dem Unfall erfolgt ist. Ob die MRI-Untersuchung vom 8. Februar 2019 als im Rahmen der Untersuchungspflicht der Allianz unerlässliche Abklärung zu qualifizieren ist oder nicht, kann aber letztlich offenbleiben, denn die Allianz hat - wie sie in ihrer Vernehmlassung ausführt und was vom Beschwerdeführer in der Folge auch nicht bestritten wurde - die MRI-Abklärung vom 8. Februar 2019 bezahlt. Das MRI vom 8. Februar 2019 hat - wie Dr. D.____ klar festhält - keine Verletzungsfolgen sichtbar gemacht, das SL- und LT-Band waren regelrecht dargestellt. Vielmehr sind ausschliesslich krankhafte Veränderungen, so der ausgeprägte synoviale Pannus, der Verdacht auf ein entzündliches Geschehen sowie das Ganglion sichtbar geworden. Aufgrund dieses Befundes gab es aus Sicht der Beschwerdegegnerin auch in Berücksichtigung ihrer Untersuchungspflicht keine Veranlassung, weitere Abklärungen vorzunehmen. Die Arthroskopie vom 8. März 2019 diente ausschliesslich der operativen Behandlung eines krankhaften Geschehens und war zur weiteren Abklärung denkbarer Unfallschäden nicht indiziert, nachdem bereits das MRI vom 8. Februar 2019 keine Hinweise auf mögliche Unfallfolgen gegeben hatte. Die Arthroskopie vom 8. März 2019 hat denn auch erneut bestätigt, dass intraoperativ keine Hinweise auf Unfallfolgen festgestellt werden konnten.</w:t>
      </w:r>
    </w:p>
    <w:p>
      <w:r>
        <w:rPr>
          <w:b/>
        </w:rPr>
        <w:t>E. 5.3</w:t>
      </w:r>
    </w:p>
    <w:p>
      <w:r>
        <w:t>Zusammenfassend ist festzuhalten, dass die Beschwerdegegnerin aufgrund der Ergebnisse der MRI-Untersuchung vom 8. Februar 2019 keine Veranlassung hatte, weitere Abklärungen vorzunehmen, so dass sie nach Übernahme der Kosten für die erwähnte MRI-Untersuchung ihre Leistungen zu Recht per 5. Februar 2019 eingestellt hat. Demzufolge ist die vorliegende Beschwerde abzuweisen.</w:t>
      </w:r>
    </w:p>
    <w:p>
      <w:r>
        <w:rPr>
          <w:b/>
        </w:rPr>
        <w:t>E. 6</w:t>
      </w:r>
    </w:p>
    <w:p>
      <w:r>
        <w:t>Art. 61 lit. a ATSG hält fest, dass der Prozess vor dem kantonalen Gericht für die Parteien kostenlos zu sein hat. Es sind deshalb für das vorliegende Verfahren keine Kosten zu erheben. Gemäss dem Ausgang des Verfahrens wird keine Parteientschädigung ausgerichtet (Art. 61 lit. g ATSG). Demgemäss wird erkannt: ://: 1. Die Beschwerde wird abgewiesen. 2. Es werden keine Verfahrenskosten erhoben. 3. Es wird keine Parteientschädigung ausgerichtet. Gegen diesen Entscheid wurde am 30. April 2021 Beschwerde beim Bundesgericht (Verfahren Nr. 8C_314/2021)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