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2023 166 / 222 vom 28. September 2023</w:t>
      </w:r>
    </w:p>
    <w:p>
      <w:r>
        <w:t>BL Gerichte, 2023-09-28, DE</w:t>
      </w:r>
    </w:p>
    <w:p>
      <w:r>
        <w:rPr>
          <w:b/>
        </w:rPr>
        <w:t xml:space="preserve">Quelle: </w:t>
      </w:r>
      <w:r>
        <w:t>https://mcp.opencaselaw.ch/entscheid/bl_gerichte_725_2023_166___222</w:t>
      </w:r>
    </w:p>
    <w:p>
      <w:r>
        <w:t>FR: BL_GERICHTE 725 2023 166 / 222 du 28 septembre 2023</w:t>
      </w:r>
    </w:p>
    <w:p>
      <w:r>
        <w:t>IT: BL_GERICHTE 725 2023 166 / 222 del 28 settembre 2023</w:t>
      </w:r>
    </w:p>
    <w:p>
      <w:pPr>
        <w:pStyle w:val="Heading2"/>
      </w:pPr>
      <w:r>
        <w:t>Regeste</w:t>
      </w:r>
    </w:p>
    <w:p>
      <w:r>
        <w:t>Medizinischer Expertenstreit betreffend die Unfallkausalität des bildgebend nachgewiesenen Knorpelschadens am Kniegelenk, Rückweisung zur Einholung einer Expertise von einem unabhängigen Kniespezialisten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in dem Sinne gutgeheissen, als der angefochtene Entscheid der Zürich Versicherungs-Gesellschaft AG vom 5. Juni 2023 aufgehoben und die Angelegenheit zur weiteren Abklärung im Sinne der Erwägungen und zum Erlass einer neuen Verfügung an die Vorinstanz zurückgewiesen wird.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Zürich Versicherungs-Gesellschaft AG hat dem Beschwerdeführer eine Parteienschädigung in der Höhe von Fr. 2'262.15 (inkl. Auslagen und 7,7 %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