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2015 96 / 197 vom 20. August 2015</w:t>
      </w:r>
    </w:p>
    <w:p>
      <w:r>
        <w:t>BL Gerichte, 2015-08-20, DE</w:t>
      </w:r>
    </w:p>
    <w:p>
      <w:r>
        <w:rPr>
          <w:b/>
        </w:rPr>
        <w:t xml:space="preserve">Quelle: </w:t>
      </w:r>
      <w:r>
        <w:t>https://mcp.opencaselaw.ch/entscheid/bl_gerichte_725_2015_96___197</w:t>
      </w:r>
    </w:p>
    <w:p>
      <w:r>
        <w:t>FR: BL_GERICHTE 725 2015 96 / 197 du 20 août 2015</w:t>
      </w:r>
    </w:p>
    <w:p>
      <w:r>
        <w:t>IT: BL_GERICHTE 725 2015 96 / 197 del 20 agosto 2015</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Münchenstein,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20. Februar 2015 ist einzutreten.</w:t>
      </w:r>
    </w:p>
    <w:p>
      <w:r>
        <w:rPr>
          <w:b/>
        </w:rPr>
        <w:t>E. 2</w:t>
      </w:r>
    </w:p>
    <w:p>
      <w:r>
        <w:t>In ihrer Verfügung vom 27. Juni 2014, welche sie mit dem angefochtenen Einspracheentscheid vom 26. Januar 2015 bestätigte, stellte die Beschwerdegegnerin ihre Versicherungsleistungen per 15. April 2014 ein. Streitig und zu prüfen ist, ob die Beschwerdeführerin über dieses Datum hinaus weiterhin Anspruch auf Leistungen aus der obligatorischen Unfallversicherung hat.</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