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19 54/186 vom 8. August 2019</w:t>
      </w:r>
    </w:p>
    <w:p>
      <w:r>
        <w:t>BL Gerichte, 2019-08-08, DE</w:t>
      </w:r>
    </w:p>
    <w:p>
      <w:r>
        <w:rPr>
          <w:b/>
        </w:rPr>
        <w:t xml:space="preserve">Quelle: </w:t>
      </w:r>
      <w:r>
        <w:t>https://mcp.opencaselaw.ch/entscheid/bl_gerichte_725_19_54_186</w:t>
      </w:r>
    </w:p>
    <w:p>
      <w:r>
        <w:t>FR: BL_GERICHTE 725 19 54/186 du 8 août 2019</w:t>
      </w:r>
    </w:p>
    <w:p>
      <w:r>
        <w:t>IT: BL_GERICHTE 725 19 54/186 del 8 agosto 2019</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E.____ (BL),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vom 15. Februar 2019 ist demnach einzutreten.</w:t>
      </w:r>
    </w:p>
    <w:p>
      <w:r>
        <w:rPr>
          <w:b/>
        </w:rPr>
        <w:t>E. 2</w:t>
      </w:r>
    </w:p>
    <w:p>
      <w:r>
        <w:t>Streitig ist, ob die Beschwerdegegnerin ihre Leistungspflicht zu Recht per 18. September 2018 eingestellt hat. Massgebend ist der Sachverhalt, wie er sich bis zum Erlass des vorliegend angefochtenen Einspracheentscheids vom 30. Januar 2019 entwickelt hat. Dieser Zeitpunkt bildet rechtsprechungsgemäss die zeitliche Grenze der richterlichen Überprüfungsbefugnis (vgl. BGE 129 V 4 E. 1.2 mit Hinweis).</w:t>
      </w:r>
    </w:p>
    <w:p>
      <w:r>
        <w:rPr>
          <w:b/>
        </w:rPr>
        <w:t>E. 3</w:t>
      </w:r>
    </w:p>
    <w:p>
      <w:r>
        <w:t>Eine Parteientschädigung wird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