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19 382/76 vom 23. April 2020</w:t>
      </w:r>
    </w:p>
    <w:p>
      <w:r>
        <w:t>BL Gerichte, 2020-04-23, DE</w:t>
      </w:r>
    </w:p>
    <w:p>
      <w:r>
        <w:rPr>
          <w:b/>
        </w:rPr>
        <w:t xml:space="preserve">Quelle: </w:t>
      </w:r>
      <w:r>
        <w:t>https://mcp.opencaselaw.ch/entscheid/bl_gerichte_725_19_382_76</w:t>
      </w:r>
    </w:p>
    <w:p>
      <w:r>
        <w:t>FR: BL_GERICHTE 725 19 382/76 du 23 avril 2020</w:t>
      </w:r>
    </w:p>
    <w:p>
      <w:r>
        <w:t>IT: BL_GERICHTE 725 19 382/76 del 23 aprile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1984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D.____,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20. November 2019.</w:t>
      </w:r>
    </w:p>
    <w:p>
      <w:r>
        <w:rPr>
          <w:b/>
        </w:rPr>
        <w:t>E. 2</w:t>
      </w:r>
    </w:p>
    <w:p>
      <w:r>
        <w:t>Die Beschwerdeführerin beanstandet in formeller Hinsicht, dass die Suva ihr rechtliches Gehör gravierend verletzt habe, indem sie die Verfügung vom 11. Februar 2019 nicht begründet habe. Diese Rüge wird jedoch insbesondere betreffend den Anspruch auf eine Parteientschädigung im Einspracheverfahren erhoben. Aus diesem Grund rechtsfertigt es sich, darauf - trotz der formellen Natur dieses Einwands - erst im Zusammenhang mit der Frage einzugehen, ob der Beschwerdeführerin im Einspracheverfahren eine Parteientschädigung auszurichten gewesen wäre (vgl. unten E. 8.3.1 ff.).</w:t>
      </w:r>
    </w:p>
    <w:p>
      <w:r>
        <w:rPr>
          <w:b/>
        </w:rPr>
        <w:t>E. 3</w:t>
      </w:r>
    </w:p>
    <w:p>
      <w:r>
        <w:t>Die Suva hat der Beschwerdeführerin eine Parteientschädigung in Höhe von Fr. 1'690.60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