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19 350/147 vom 25. Juni 2020</w:t>
      </w:r>
    </w:p>
    <w:p>
      <w:r>
        <w:t>BL Gerichte, 2020-06-25, DE</w:t>
      </w:r>
    </w:p>
    <w:p>
      <w:r>
        <w:rPr>
          <w:b/>
        </w:rPr>
        <w:t xml:space="preserve">Quelle: </w:t>
      </w:r>
      <w:r>
        <w:t>https://mcp.opencaselaw.ch/entscheid/bl_gerichte_725_19_350_147</w:t>
      </w:r>
    </w:p>
    <w:p>
      <w:r>
        <w:t>FR: BL_GERICHTE 725 19 350/147 du 25 juin 2020</w:t>
      </w:r>
    </w:p>
    <w:p>
      <w:r>
        <w:t>IT: BL_GERICHTE 725 19 350/147 del 25 giugno 2020</w:t>
      </w:r>
    </w:p>
    <w:p>
      <w:pPr>
        <w:pStyle w:val="Heading2"/>
      </w:pPr>
      <w:r>
        <w:t>Regeste</w:t>
      </w:r>
    </w:p>
    <w:p>
      <w:r>
        <w:t>Leistungen</w:t>
      </w:r>
    </w:p>
    <w:p>
      <w:pPr>
        <w:pStyle w:val="Heading2"/>
      </w:pPr>
      <w:r>
        <w:t>Erwägungen</w:t>
      </w:r>
    </w:p>
    <w:p>
      <w:r>
        <w:rPr>
          <w:b/>
        </w:rPr>
        <w:t>E. 2</w:t>
      </w:r>
    </w:p>
    <w:p>
      <w:r>
        <w:t>Strittig und zu prüfen ist vorliegend die Einstellung der Leistungen für die rückfallweise geltend gemachten Schulterbeschwerden per 30. Juni 2019 sowie die Übernahme der Heilbehandlung, namentlich die Physiotherapiebehandlungen in X.____ der letzten dreieinhalb Jahre. 3.1 Auf den 1. Januar 2017 sind die mit Bundesgesetz vom 25. September 2015 revidierten Bestimmungen des UVG in Kraft getreten. Zu den geänderten Normen gehören auch die Bestimmungen von Art. 10 Abs. 1 und Art. 18 Abs. 1 UVG, welche die Ansprüche auf Heilbehandlung und auf eine Invalidenrente regeln.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3.2 Nach Art. 6 Abs. 1 UVG hat der Unfallversicherer in der obligatorischen Unfallversicherung, soweit das Gesetz nichts anderes bestimmt, die Versicherungsleistungen bei Berufsunfällen, Nichtberufsunfällen und Berufskrankheiten zu gewähren. 3.3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am dritten Tag nach dem Unfalltag und er erlischt mit der Wiedererlangung der vollen Arbeitsfähigkeit, mit dem Beginn einer Rente oder mit dem Tod der versicherten Person (Art. 16 Abs. 2 UVG). Ist die versicherte Person infolge des Unfalles zu mindestens 10 Prozent invalid,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3.4 Die Leistungspflicht eines Unfallversicherers gemäss UVG setzt voraus, dass zwischen dem versicherten Ereignis und den Gesundheitsbeeinträchtigungen ein natürlicher und ein adäquater Kausalzusammenhang besteht (BGE 129 V 177 E. 3.1 f.). 4.1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157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351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E. 4.7).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5.1 Die Suva stützte sich im angefochtenen Einspracheentscheid auf die Ausführungen ihrer Kreisärztin Dr. D.____ vom 23. Mai 2019 und vom 27. Juni 2019. Unter Berücksichtigung aller ärztlichen Berichte gab sie an, die Gesundheit des Versicherten sei an der linken Schulter mit überwiegender Wahrscheinlichkeit schon vor dem Unfall in stummer oder manifester Weise beeinträchtigt gewesen; es habe eine degenerative Unterflächenläsion der Supraspinatussehne, eine Tendinopathie der Bicepssehne sowie eine degenerative Hypertrophie des AC-Gelenkes mit Hinweis auf eine Impingement-Problematik vorbestanden. Der Unfall habe mit überwiegender Wahrscheinlichkeit nicht zu zusätzlichen strukturellen Läsionen, die objektivierbar seien, geführt. Der Versicherte habe sich vielmehr eine Prellung/Distorsion der Schulter im Sinne einer vorübergehenden Verschlimmerung zugezogen. Die Folgen dieser Verletzungen an der Schulter seien spätestens innerhalb von vier Monaten abgeklungen. Gestützt auf diese Beurteilung verneinte die Suva die Unfallkausalität der Schulterbeschwerden und somit eine Leistungspflicht. 5.2 Die Berichte von Dr. D.____ vom 23. Mai 2019 und vom 27. Juni 2019 sind in Bezug auf die Folgen des Unfalls vom 17. April 2016 umfassend, berücksichtigen die geklagten Beschwerden und sind in Kenntnis der Vorakten abgegeben worden. Zudem sind die Ausführungen der medizinischen Zusammenhänge sowie der medizinischen Situation einleuchtend und beinhalten begründete Schlussfolgerungen (vgl. dazu BGE 134 V 231 E. 5.1, 125 V 351 E. 3a, 122 V 160 E. 1c). Da den übrigen Akten keine Hinweise zu entnehmen sind, welche Zweifel an der Beurteilung von Dr. D.____ erwecken könnten, kann auf ihre Ausführungen abgestellt und zulässigerweise auf weitere Abklärungen verzichtet werden (antizipierte Beweiswürdigung; vgl. BGE 131 I 153 E. 3, 126 V 130 E. 2a, 124 V 94 E. 4b, 122 V 162 E. 1d, 119 V 344 E. 3c in fine mit Hinweisen). Es erscheint überwiegend wahrscheinlich, dass in Bezug auf die Folgen des Unfalls vom 17. April 2016 ein medizinischer Endzustand eingetreten ist. Ob die im März 2019 rückfallweise geltend gemachten Schulterbeschwerden in einem natürlichen und adäquaten Kausalzusammenhang mit dem Unfallereignis vom 17. April 2016 stehen, kann letztlich aber offenbleiben und es kann auf weitergehende Erörterungen dazu verzichtet werden. Wie nachfolgend aufgezeigt wird, kann der Auffassung des Beschwerdeführers so oder so nicht gefolgt werden. 6.1 Der Beschwerdeführer stellt sich auf den Standpunkt, die Beschwerdegegnerin sei verpflichtet, die Kosten für die Physiotherapiebehandlungen der letzten dreieinhalb Jahre zu übernehmen. Da der Beschwerdeführer per Ende April 2016 pensioniert wurde, ist im Folgenden zu prüfen, ob dem Beschwerdeführer auch nach Erreichen des Rentenalters ein Anspruch auf Heilbehandlung zustehen würde. 6.2.1 Ein Anspruch auf die vorübergehende UV-Leistung ‟Heilbehandlung" setzt nach Gesetz (Art. 19 Abs. 1 UVG) und Praxis voraus, dass von einer Fortsetzung der ärztlichen Behandlung noch eine namhafte Besserung des - unfallbedingt beeinträchtigten - Gesundheitszustandes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(BGE 137 V 199 E. 2.1, 134 V 109 E. 4.1). Nahtlos an diese Regelung schliesst sich Art. 21 Abs. 1 UVG an. Danach sollen nach Festsetzung der Rente Pflegeleistungen und Kostenvergütungen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(BGE 134 V 109 E. 4.2). Nur ausnahmsweise - nämlich dann, wenn ein Rückfall oder eine Spätfolge vorliegt - trifft dies nicht zu (Art. 11 UVV; vgl. Art. 21 Abs. 1 lit. b UVG; Urteil des Bundesgerichts vom 18. Dezember 2015, 8C_364/2015, E. 4.2).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(BGE 144 V 245 E. 6.1; BGE 118 V 293 E. 2c mit Hinweisen). 6.2.2 Was unter einer namhaften Besserung des Gesundheitszustandes der versicherten Person zu verstehen ist, umschreibt das Gesetz nicht näher. Das Bundesgericht hat hierzu festgehalten, diese bestimme sich mit Blick darauf, dass die soziale Unfallversicherung ihrer Konzeption nach auf die erwerbstätigen Personen ausgerichtet sei, namentlich nach Massgabe der zu erwartenden Steigerung oder Wiederherstellung der unfallbedingt beeinträchtigten Arbeitsfähigkeit. Dabei verdeutliche die Verwendung des Begriffes "namhaft" durch den Gesetzgeber, dass die durch weitere Heilbehandlung zu erwartende Besserung ins Gewicht fallen müsse. Unbedeutende Verbesserungen würden nicht genügen (BGE 134 V 109 E. 4.3 mit weiteren Hinweisen). 6.3 Aus den Akten ergibt sich, dass die Suva den Fall im Sommer 2016 - nachdem der Beschwerdeführer weder Heilbehandlungen in Anspruch genommen hatte noch aufgrund des Unfalls arbeitsunfähig war - folgenlos abgeschlossen hat. Hierzu ist anzumerken, dass nach einem Fallabschluss grundsätzlich keine Heilbehandlungsleistungen mehr geschuldet sind (vgl. BGE 140 V 130 E. 2.2; 134 V 109 E. 4.1). Sodann ist unbestritten, dass der Beschwerdeführer seine Erwerbstätigkeit infolge Pensionierung dauerhaft per Ende April 2016 aufgegeben hat. Ausgehend von der Grundkonzeption, dass nach Abschluss der Taggeldphase resp. Heilbehandlungsphase die Krankenversicherung für die Heilbehandlungen zuständig ist, und die Regelungen für Rentenbezüger gemäss Art. 21 Abs. 1 lit. b und c UVG ausdrücklich an die Erwerbstätigkeit anknüpft, ist davon auszugehen, dass mit der definitiven altershalben Aufgabe der Erwerbstätigkeit auch die Leistungspflicht des Unfallversicherers für die Heilbehandlungen endet. Nach dem Gesagten kann aus Art. 21 UVG kein Anspruch auf Pflegeleistungen und Kostenvergütungen nach der Pensionierung abgeleitet werden. Auch im Falle von Rückfällen und Spätfolgen wird das Bestehen einer Resterwerbsfähigkeit für die Übernahme von Heilbehandlungskosten bei Rentenbezügern ausnahmslos vorausgesetzt. Selbst wenn also vorliegend von einem Rückfall auszugehen wäre, würde dies nichts daran ändern, dass nach der definitiven Aufgabe der Erwerbstätigkeit infolge Pensionierung keine Heilbehandlungsleistungen durch den Unfallversicherer mehr geschuldet sind (Art. 21 Abs. 1 lit. b UVG; vgl. zum Ganzen André Nabold , Basler Kommentar zum UVG, Rz. 2 ff. zu Art. 21 UVG; vgl. auch Urteil des Sozialversicherungsgerichts des Kantons Zürich vom 13. September 2018, UV.2017.00160, E. 3.2.4 f.). Abgesehen davon besteht der gesetzlich umschriebene Anspruch auf Heilbehandlung lediglich so lange, als von der Fortsetzung der ärztlichen Behandlung eine namhafte Verbesserung des Gesundheitszustandes erwartet werden kann. Trotz regelmässiger physiotherapeutischer Behandlung in den letzten Jahren - die zwar kurzfristige Linderung brachte - hat sich der Gesundheitszustand den Angaben des Beschwerdeführers nach nicht gebessert. Somit war und ist von der Fortführung der wöchentlichen physiotherapeutischen Behandlung keine namhafte Verbesserung des Gesundheitszustands des Beschwerdeführers zu erwarten, weshalb auch vor diesem Hintergrund keine Heilbehandlungsleistungen geschuldet sind.</w:t>
      </w:r>
    </w:p>
    <w:p>
      <w:r>
        <w:rPr>
          <w:b/>
        </w:rPr>
        <w:t>E. 7</w:t>
      </w:r>
    </w:p>
    <w:p>
      <w:r>
        <w:t>Zusammenfassend ist festzustellen, dass sich die gegen den Einspracheentscheid der Suva vom 8. Oktober 2019 erhobene Beschwerde als unbegründet erweist, weshalb sie - soweit darauf eingetreten werden kann - abzuweisen ist.</w:t>
      </w:r>
    </w:p>
    <w:p>
      <w:r>
        <w:rPr>
          <w:b/>
        </w:rPr>
        <w:t>E. 8</w:t>
      </w:r>
    </w:p>
    <w:p>
      <w:r>
        <w:t>Gemäss Art. 61 lit. a ATSG ist das Verfahren vor dem kantonalen Versicherungsgericht kostenlos. Es sind deshalb für das vorliegende Verfahren keine Kosten zu erheben. Demgemäss wird erkannt: ://: 1. Die Beschwerde wird abgewiesen, soweit darauf einzutreten ist.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