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18 155 / 245 vom 10. Oktober 2019</w:t>
      </w:r>
    </w:p>
    <w:p>
      <w:r>
        <w:t>BL Gerichte, 2019-10-10, DE</w:t>
      </w:r>
    </w:p>
    <w:p>
      <w:r>
        <w:rPr>
          <w:b/>
        </w:rPr>
        <w:t xml:space="preserve">Quelle: </w:t>
      </w:r>
      <w:r>
        <w:t>https://mcp.opencaselaw.ch/entscheid/bl_gerichte_725_18_155___245</w:t>
      </w:r>
    </w:p>
    <w:p>
      <w:r>
        <w:t>FR: BL_GERICHTE 725 18 155 / 245 du 10 octobre 2019</w:t>
      </w:r>
    </w:p>
    <w:p>
      <w:r>
        <w:t>IT: BL_GERICHTE 725 18 155 / 245 del 10 ottobre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7. Mai 2018 ist einzutreten. 2.1 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Artikeln 83 ff. VUV Gebrauch gemacht. 2.2 Laut Art. 86 Abs. 1 VUV erhält der Arbeitnehmer, der von einer Arbeit befristet oder dauernd ausgeschlossen oder nur als bedingt geeignet erklärt worden ist, vom Versicherer eine Übergangsentschädigung, wenn er durch die Verfügung trotz persönlicher Beratung, trotz Bezugs von Übergangstaggeld und trotz des ihm zumutbaren Einsatzes, den ökonomischen Nachteil auf dem Arbeitsmarkt wettzumachen, in seinem wirtschaftlichen Fortkommen erheblich beeinträchtigt bleibt (lit. a),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(lit. b) und innert zweier Jahre, nachdem die Verfügung in Rechtskraft erwachsen oder ein Anspruch auf Übergangstaggeld erloschen ist, beim Versicherer jenes Arbeitgebers, bei dem er zur Zeit des Erlasses der Verfügung gearbeitet hat, ein entsprechendes Gesuch stellt (lit. c). Die Übergangsentschädigung wird nur gewährt, wenn die Voraussetzungen von Art. 86 Abs. 1 lit. a-c VUV kumulativ erfüllt sind (BGE 130 V 433 E. 2.2). 2.3 Bei den Übergangsentschädigungen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(BGE 138 V 41 E. 4.2 mit Hinweisen).</w:t>
      </w:r>
    </w:p>
    <w:p>
      <w:r>
        <w:rPr>
          <w:b/>
        </w:rPr>
        <w:t>E. 3</w:t>
      </w:r>
    </w:p>
    <w:p>
      <w:r>
        <w:t>Strittig ist, ob die Beschwerdegegnerin einen Anspruch des Beschwerdeführers auf Übergangsentschädigung nach Art. 86 VUV als Folge der Nichteignungsverfügung vom 24. Mai 2012 zu Recht verweigerte. Sie stellte sich im angefochtenen Einspracheentscheid vom 23. März 2018 auf den Standpunkt, nach dem Wortlaut von Art. 86 Abs. 1 lit. c VUV nicht zuständig zu sein, da der Beschwerdeführer zur Zeit des Erlasses der Nichteignungsverfügung am 24. Mai 2012 bei der Arbeitslosenversicherung angemeldet und somit bei der Suva gegen Unfälle und Berufskrankheiten versichert gewesen sei. Dieser Auffassung kann nicht beigepflichtet werden, wie sich aus den nachstehenden Ausführungen ergibt.</w:t>
      </w:r>
    </w:p>
    <w:p>
      <w:r>
        <w:rPr>
          <w:b/>
        </w:rPr>
        <w:t>E. 4</w:t>
      </w:r>
    </w:p>
    <w:p>
      <w:r>
        <w:t>Streitig ist einzig die Auslegung des Art. 86 VUV. 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f. mit Hinweis; Urteil des Bundesgerichts vom 14. September 2018, 9C_891/2017, E. 4.2.2). 5.1 Laut Art. 86 VUV erhält ein Arbeitnehmer, der von einer Arbeit befristet oder dauernd ausgeschlossen oder nur als bedingt geeignet erklärt worden war, vom Versicherer eine Übergangsentschädigung. Mit dem Begriff "Arbeitnehmer" knüpft die Entschädigung an ein konkretes Arbeitsverhältnis an, weshalb als "Versicherer" einzig der obligatorische Unfallversicherer jenes Arbeitgebers in Frage kommen kann, von dessen Arbeit eine versicherte Person ausgeschlossen wurde. Weiter ergibt sich - wie die Suva zutreffend ausführt - auch aus dem Sinn und Zweck sowohl der Nichteignungsverfügung als auch der Übergangsleistung, dass diese direkt im Zusammenhang mit einer ausgeübten Tätigkeit stehen. So sollen, wie sich aus der Botschaft zum Bundesgesetz über die Unfallversicherung vom 18. August 1976 (BBl 1976 III 141, Ziff. 362) ergibt, besonders gefährdete versicherte Personen zur Verhütung von Berufsunfällen und Berufskrankheiten von einer sie gefährdenden Arbeit ausgeschlossen werden und unter gewissen Voraussetzungen Anspruch auf Ausgleich des daraus resultierenden Schadens haben. Gedeckt ist demnach stets ein Risiko, das aus einer konkreten versicherten beruflichen Tätigkeit resultiert und für welches der Unfallversicherer jenes Arbeitgebers einzustehen hat, von dessen Arbeit eine versicherte Person ausgeschlossen wurde. Nichts anderes resultiert aus der Systematik des Art. 86 VUV. So regeln die Art. 86 VUV Abs. 1 lit. a-c die Anspruchsvoraussetzungen, welche kumulativ erfüllt sein müssen. Namentlich bestimmt der hier in Frage stehende Art. 86 Abs. 1 lit. c VUV die Frist, innert welcher das Gesuch um Übergangsentschädigung einzureichen ist. Aus der Bestimmung, wonach das Gesuch "[…] beim Versicherer jenes Arbeitgebers, bei dem er zur Zeit des Erlasses der Verfügung gearbeitet hat […]" gestellt werden muss, lässt sich indes keine (zusätzliche) Regelung der Zuständigkeit des Versicherers ableiten. Mit Blick auf den Wortlaut der französisch- und italienischsprachigen Fassungen der Norm ("[...] au moment où la décision a été prise [...]" bzw. "[...] al momento in cui è stata presa la decisione [...]") ist die Formulierung vielmehr in dem Sinne zu verstehen, dass für die Übergangsentschädigung jener Versicherer zuständig bleibt, bei welchem die versicherte Person zur Zeit des Entscheids über die Nichteignung versichert war. Daher ändert an der Zuständigkeit des Unfallversicherers des Arbeitgebers auch die Beendigung des Arbeitsverhältnisses zeitnah vor dem Erlass einer Nichteignungsverfügung nichts. Die gegenteilige Auffassung der Beschwerdegegnerin hätte zur Folge, dass arbeitslose Versicherte vom Anspruch auf eine Übergangsentschädigung ausgeschlossen wären, da sie nicht (mehr) in einem Arbeitsverhältnis stehen. Dies wäre aber wiederum mit dem Zweck der Übergangsentschädigung, den Betroffenen die Suche einer anderen Stelle resp. den Erwerb neuer beruflicher Kenntnisse und Fertigkeiten zu erleichtern, nicht vereinbar. Das von der Beschwerdegegnerin angerufene Urteil des Bundesgerichts vom 16. August 2010, 8C_154/2010, ist für die Beurteilung des vorliegenden Falls nicht einschlägig, war doch die versicherte Person in jenem Fall zum Zeitpunkt des Erlasses der Nichteignungsverfügung bereits seit Jahren nicht mehr in der sie gefährdenden Arbeit tätig. Der klare Wortlaut, der normspezifische Zweck, die Materialien und die Systematik führen nach dem Gesagten zum Ergebnis, dass das Gesuch um Übergangsentschädigung im Sinne von Art. 86 Abs. 1 lit. c VUV beim Versicherer jenes Arbeitgebers gestellt werden muss, von dessen Arbeit eine versicherte Person ausgeschlossen worden war. Folglich ist die Beschwerdegegnerin im Sinne von Art. 86 VUV die zuständige Versicherung. 5.2 Die Rechtzeitigkeit des Gesuchs ist im vorliegenden Verfahren zu Recht nicht mehr in Frage gestellt. Unbestritten hat der Beschwerdeführer das Gesuch zum Bezug von Übergangsentschädigung am 20. August 2013 bei der Suva eingereicht. Wird eine Anmeldung - wie hier - bei einer unzuständigen Stelle eingereicht, so ist für die Einhaltung der Frist und die an die Anmeldung geknüpften Rechtswirkungen trotzdem der Zeitpunkt massgebend, in dem sie der unzuständigen Stelle eingereicht wurde (Art. 29 Abs. 3 ATSG). Ein Anmeldewille ist im Schreiben vom 20. August 2013 zweifellos zu bejahen, sodass das Gesuch innerhalb von zwei Jahren nach Eintritt der Rechtskraft der Verfügung vom 24. Mai 2012 und damit rechtzeitig gestellt wurde. Die Beschwerde ist daher in dem Sinne gutgeheissen, als der Einspracheentscheid der Sympany Versicherungen AG vom 23. März 2018 aufgehoben und die Sache an diese zurückgewiesen wird, damit sie die übrigen Anspruchsvoraussetzungen gemäss Art. 86 ff. VUV prüft und anschliessend über den Anspruch des Versicherten auf eine Übergangsentschädigung neu entscheide. 6.1 Art. 61 lit. a ATSG bestimmt, dass das Beschwerdeverfahren vor dem kantonalen Gericht für die Parteien kostenlos zu sein hat. Es sind deshalb für das vorliegende Verfahren keine Kosten zu erheben. 6.2 Gemäss Art. 61 lit. g ATSG hat die obsiegende Beschwerde führende Person Anspruch auf Ersatz der Parteikosten. Diese werden vom Gericht festgesetzt und ohne Rücksicht auf den Streitwert nach der Bedeutung der Streitsache und nach der Schwierigkeit des Prozesses bemessen. Nachdem der Beschwerdeführer obsiegt hat, hat er Anspruch auf Ersatz der Parteikosten. Der Rechtsvertreter des Beschwerdeführers hat in seiner Honorarnote vom 28. August 2019 einen Zeitaufwand von 8 Stunden und 45 Minuten geltend gemacht, was in Anbetracht der sich stellenden Sachverhalts- und Rechtsfragen nicht zu beanstanden ist. Die zeitlichen Bemühungen sind zu dem seit dem 1. Januar 2004 in Sozialversicherungsprozessen für durchschnittliche Fälle zur Anwendung gelangenden Stundenansatz von Fr. 250.-- zu entschädigen. Hinzu kommen die in der Honorarnote ausgewiesenen Auslagen von Fr. 95.30. Somit ist dem Beschwerdeführer für das vorliegende Beschwerdeverfahren eine Parteientschädigung in der Höhe von Fr. 2'458.60 (8,75 Stunden à Fr. 250.-- sowie Auslagen von Fr. 95.30 zuzüglich 7,7% Mehrwertsteuer) zu Lasten der Beschwerdegegnerin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Einspracheentscheid der Sympany Versicherungen AG vom 23. März 2018 aufgehoben und die Sache an diese zurückgewiesen wird, damit sie, nach erfolgter Abklärung im Sinne der Erwägungen, über den Anspruch des Beschwerdeführers auf eine Übergangsentschädigung neu entscheide. 2. Es werden keine Verfahrenskosten erhoben. 3. Die Sympany Versicherungen AG hat dem Beschwerdeführer eine Parteientschädigung in der Höhe von Fr. 2'458.60 (inkl. Auslagen und 7,7%) Mehrwertsteuer zu bezahlen. Gegen diesen Entscheid hat die Beschwerdegegnerin am 6. Februar 2020 Beschwerde beim Bundesgericht erhoben (siehe nach Vorliegen des Urteils: Verfahren-Nr. 8C_114/2020)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