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17 300 vom 25. Juli 2019</w:t>
      </w:r>
    </w:p>
    <w:p>
      <w:r>
        <w:t>BL Gerichte, 2019-07-25, DE</w:t>
      </w:r>
    </w:p>
    <w:p>
      <w:r>
        <w:rPr>
          <w:b/>
        </w:rPr>
        <w:t xml:space="preserve">Quelle: </w:t>
      </w:r>
      <w:r>
        <w:t>https://mcp.opencaselaw.ch/entscheid/bl_gerichte_725_17_300</w:t>
      </w:r>
    </w:p>
    <w:p>
      <w:r>
        <w:t>FR: BL_GERICHTE 725 17 300 du 25 juillet 2019</w:t>
      </w:r>
    </w:p>
    <w:p>
      <w:r>
        <w:t>IT: BL_GERICHTE 725 17 300 del 25 luglio 2019</w:t>
      </w:r>
    </w:p>
    <w:p>
      <w:pPr>
        <w:pStyle w:val="Heading2"/>
      </w:pPr>
      <w:r>
        <w:t>Regeste</w:t>
      </w:r>
    </w:p>
    <w:p>
      <w:r>
        <w:t>Sozialversicherungsrechtliche Stellung</w:t>
      </w:r>
    </w:p>
    <w:p>
      <w:pPr>
        <w:pStyle w:val="Heading2"/>
      </w:pPr>
      <w:r>
        <w:t>Erwägungen</w:t>
      </w:r>
    </w:p>
    <w:p>
      <w:r>
        <w:rPr>
          <w:b/>
        </w:rPr>
        <w:t>E. 1</w:t>
      </w:r>
    </w:p>
    <w:p>
      <w:r>
        <w:t>Die Beschwerden werden in dem Sinne gutgeheissen, als der angefochtene Einspracheentscheid der Suva vom 17. Juli 2017 aufgehoben und die Angelegenheit zur weiteren Abklärung im Sinne der Erwägungen an die Suva zurückgewiesen wird.</w:t>
      </w:r>
    </w:p>
    <w:p>
      <w:r>
        <w:rPr>
          <w:b/>
        </w:rPr>
        <w:t>E. 2</w:t>
      </w:r>
    </w:p>
    <w:p>
      <w:r>
        <w:t>Es werden keine Verfahrenskosten erhoben.</w:t>
      </w:r>
    </w:p>
    <w:p>
      <w:r>
        <w:rPr>
          <w:b/>
        </w:rPr>
        <w:t>E. 3</w:t>
      </w:r>
    </w:p>
    <w:p>
      <w:r>
        <w:t>Die Suva hat den Beschwerde führenden Parteien eine Parteientschädigung in der Höhe von Fr. 3'284.85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