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12 / 174 vom 24. August 2009</w:t>
      </w:r>
    </w:p>
    <w:p>
      <w:r>
        <w:t>BL Gerichte, 2009-08-24, DE</w:t>
      </w:r>
    </w:p>
    <w:p>
      <w:r>
        <w:rPr>
          <w:b/>
        </w:rPr>
        <w:t xml:space="preserve">Quelle: </w:t>
      </w:r>
      <w:r>
        <w:t>https://mcp.opencaselaw.ch/entscheid/bl_gerichte_725_17_12___174</w:t>
      </w:r>
    </w:p>
    <w:p>
      <w:r>
        <w:t>FR: BL_GERICHTE 725 17 12 / 174 du 24 août 2009</w:t>
      </w:r>
    </w:p>
    <w:p>
      <w:r>
        <w:t>IT: BL_GERICHTE 725 17 12 / 174 del 24 agosto 2009</w:t>
      </w:r>
    </w:p>
    <w:p>
      <w:pPr>
        <w:pStyle w:val="Heading2"/>
      </w:pPr>
      <w:r>
        <w:t>Regeste</w:t>
      </w:r>
    </w:p>
    <w:p>
      <w:r>
        <w:t>Leistungen/Rückweisung BG</w:t>
      </w:r>
    </w:p>
    <w:p>
      <w:pPr>
        <w:pStyle w:val="Heading2"/>
      </w:pPr>
      <w:r>
        <w:t>Erwägungen</w:t>
      </w:r>
    </w:p>
    <w:p>
      <w:r>
        <w:rPr>
          <w:b/>
        </w:rPr>
        <w:t>E. 1</w:t>
      </w:r>
    </w:p>
    <w:p>
      <w:r>
        <w:t>Auf die frist- und formgerecht erhobene Beschwerde vom 29. April 2013 ist einzutreten. Anfechtungsobjekt ist der Einspracheentscheid vom 14. März 2013. Darin bestätigte die Beschwerdegegnerin ihre Verfügung vom 31. Oktober 2012, mit der sie ihre Leistungen per 29. Februar 2008 eingestellt hatte. An dieser Auffassung hielt sie bis heute fest. Der Beschwerdeführer beantragte die Gutheissung der Beschwerde und die Verpflichtung der Beschwerdegegnerin, ihm eine Invalidenrente auf der Basis einer Arbeitsunfähigkeit von 40% in einer Verweistätigkeit auszurichten. Eventualiter sei ein neues Gutachten zur Frage der Arbeitsfähigkeit des Beschwerdeführers in Auftrag zu geben und im Anschluss daran erneut über den Rentenanspruch zu entscheiden. Subeventualiter sei die Beschwerdegegnerin zu verpflichten, dem Beschwerdeführer eine Invalidenrente auf der Basis einer 10%-igen Arbeitsunfähigkeit auszurichten. 2.1 Vorweg ist nochmals auf die einschlägigen gesetzlichen Bestimmungen und die Verfahrensgrundsätze hinzuweisen. 2.2 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(in der bis Ende 2016 in Kraft gewesenen Fassung)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Gemäss Art. 36 Abs. 2 UVG werden die Invalidenrenten,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 2.3 Für Leistungen nach UVG hat der Unfallversicherer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2.4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2.5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(SVR 2009 UV Nr. 3 S. 9 8C_354/2007, E. 2.2). 2.6 Zur Feststellung des Sachverhaltes und des natürlichen Kausalzusammenhangs im Bereich der Medizin ist die rechtsanwendende Behörde regelmässig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2.7 Das Gericht hat die medizinischen Unterlagen nach dem für den Sozialversicherungsprozess gültigen Grundsatz der freien Beweiswürdigung (vgl. Art. 61 lit. c des Bundesgesetzes über den Allgemeinen Teil des Sozialversicherungsrechts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w:t>
      </w:r>
    </w:p>
    <w:p>
      <w:r>
        <w:rPr>
          <w:b/>
        </w:rPr>
        <w:t>E. 3</w:t>
      </w:r>
    </w:p>
    <w:p>
      <w:r>
        <w:t>Die Kosten für das ZMB-Gerichtsgutachten vom 16. März 2015 in der Höhe von Fr. 25‘705.90 werden der Beschwerdegegnerin auferlegt.</w:t>
      </w:r>
    </w:p>
    <w:p>
      <w:r>
        <w:rPr>
          <w:b/>
        </w:rPr>
        <w:t>E. 4</w:t>
      </w:r>
    </w:p>
    <w:p>
      <w:r>
        <w:t>Die Kosten für die ergänzende Stellungnahme des ZMB vom 4. September 2017 in der Höhe von Fr. 265.85 gehen zu Lasten der Gerichtskasse.</w:t>
      </w:r>
    </w:p>
    <w:p>
      <w:r>
        <w:rPr>
          <w:b/>
        </w:rPr>
        <w:t>E. 5</w:t>
      </w:r>
    </w:p>
    <w:p>
      <w:r>
        <w:t>Die Beschwerdegegnerin hat dem Beschwerdeführer eine Parteientschädigung in der Höhe von insgesamt Fr. 16‘241.50 (inkl. Auslagen und 8% bzw.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