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23 vom 9. Juni 2016</w:t>
      </w:r>
    </w:p>
    <w:p>
      <w:r>
        <w:t>BL Gerichte, 2016-06-09, DE</w:t>
      </w:r>
    </w:p>
    <w:p>
      <w:r>
        <w:rPr>
          <w:b/>
        </w:rPr>
        <w:t xml:space="preserve">Quelle: </w:t>
      </w:r>
      <w:r>
        <w:t>https://mcp.opencaselaw.ch/entscheid/bl_gerichte_725_16_23</w:t>
      </w:r>
    </w:p>
    <w:p>
      <w:r>
        <w:t>FR: BL_GERICHTE 725 16 23 du 9 juin 2016</w:t>
      </w:r>
    </w:p>
    <w:p>
      <w:r>
        <w:t>IT: BL_GERICHTE 725 16 23 del 9 giugno 2016</w:t>
      </w:r>
    </w:p>
    <w:p>
      <w:pPr>
        <w:pStyle w:val="Heading2"/>
      </w:pPr>
      <w:r>
        <w:t>Regeste</w:t>
      </w:r>
    </w:p>
    <w:p>
      <w:r>
        <w:t>Unfallversicherung Abweisung der Beschwerde. Die SUVA hat die Invalidenrente des Beschwerdeführers zu Recht aufgehoben. Bei allen vorgenommenen Berechnungen (Valideneinkommen gemäss LMV, LSE 2010 oder Lohnauskünften) erreicht der Versicherte keinen Invaliditätsgrad von mindestens 10%. Die Sachverhaltsänderung ist auch erheblich im Sinne der Rechtsprechung, da sich der Invaliditätsgrad seit der ursprünglichen Rentenzusprache um mehr als 5 Prozentpunkte verringert hat.</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(Art. 58 Abs. 2 ATSG, 1. Satzteil). Gemäss § 54 Abs. 1 lit. b des Gesetzes über die Verfassungs- und Verwaltungsprozessordnung (VPO) vom 16. Dezember 1993 beurteilt das Kantonsgericht des Kantons Basel-Landschaft, Abteilung Sozialversicherungsrecht, als einzige gerichtliche Instanz des Kantons Beschwerden gegen Einspracheentscheide der Versicherer. Zur Zeit der Beschwerdeerhebung wohnte der Versicherte zwar in Deutschland. Zum Zeitpunkt des Unfallereignisses war er jedoch bei der B.____ AG angestellt, welche ihren Sitz in X.____ (BL) hatte. Auch aktuell ist der Versicherte bei einem schweizerischen Arbeitgeber tätig, denn er ist bei der C.____ AG in Y.____ beschäftigt. Demnach ist das Kantonsgericht sachlich und örtlich für die Behandlung der vorliegenden Beschwerde zuständig.</w:t>
      </w:r>
    </w:p>
    <w:p>
      <w:r>
        <w:rPr>
          <w:b/>
        </w:rPr>
        <w:t>E. 2</w:t>
      </w:r>
    </w:p>
    <w:p>
      <w:r>
        <w:t>Zwischen den Parteien streitig und im Folgenden zu prüfen ist, ob die SUVA die Rente des Versicherten zu Recht aufgehoben hat. Umstritten ist insbesondere die Berechnung des Valideneinkommens.</w:t>
      </w:r>
    </w:p>
    <w:p>
      <w:r>
        <w:rPr>
          <w:b/>
        </w:rPr>
        <w:t>E. 3</w:t>
      </w:r>
    </w:p>
    <w:p>
      <w:r>
        <w:t>Die ausserordentlichen Kosten werden wettgeschlagen. Gegen diesen Entscheid wurde vom Beschwerdeführer am 7. November 2016 Beschwerde beim Bundesgericht (siehe nach Vorliegen des Urteils: Verfahren-Nr. 8C_741/2016)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