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16 226 / 111 vom 12. Mai 2015</w:t>
      </w:r>
    </w:p>
    <w:p>
      <w:r>
        <w:t>BL Gerichte, 2015-05-12, DE</w:t>
      </w:r>
    </w:p>
    <w:p>
      <w:r>
        <w:rPr>
          <w:b/>
        </w:rPr>
        <w:t xml:space="preserve">Quelle: </w:t>
      </w:r>
      <w:r>
        <w:t>https://mcp.opencaselaw.ch/entscheid/bl_gerichte_725_16_226___111</w:t>
      </w:r>
    </w:p>
    <w:p>
      <w:r>
        <w:t>FR: BL_GERICHTE 725 16 226 / 111 du 12 mai 2015</w:t>
      </w:r>
    </w:p>
    <w:p>
      <w:r>
        <w:t>IT: BL_GERICHTE 725 16 226 / 111 del 12 maggio 2015</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11. Juli 2016 ist demnach einzutreten.</w:t>
      </w:r>
    </w:p>
    <w:p>
      <w:r>
        <w:rPr>
          <w:b/>
        </w:rPr>
        <w:t>E. 2</w:t>
      </w:r>
    </w:p>
    <w:p>
      <w:r>
        <w:t>Es werden keine Verfahrenskosten erhoben.</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