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15 361 vom 2. Juni 2016</w:t>
      </w:r>
    </w:p>
    <w:p>
      <w:r>
        <w:t>BL Gerichte, 2016-06-02, DE</w:t>
      </w:r>
    </w:p>
    <w:p>
      <w:r>
        <w:rPr>
          <w:b/>
        </w:rPr>
        <w:t xml:space="preserve">Quelle: </w:t>
      </w:r>
      <w:r>
        <w:t>https://mcp.opencaselaw.ch/entscheid/bl_gerichte_725_15_361</w:t>
      </w:r>
    </w:p>
    <w:p>
      <w:r>
        <w:t>FR: BL_GERICHTE 725 15 361 du 2 juin 2016</w:t>
      </w:r>
    </w:p>
    <w:p>
      <w:r>
        <w:t>IT: BL_GERICHTE 725 15 361 del 2 giugno 2016</w:t>
      </w:r>
    </w:p>
    <w:p>
      <w:pPr>
        <w:pStyle w:val="Heading2"/>
      </w:pPr>
      <w:r>
        <w:t>Regeste</w:t>
      </w:r>
    </w:p>
    <w:p>
      <w:r>
        <w:t>Unfallversicherung Die SUVA prüfte im Rahmen einer Rückfallmeldung zu Recht, ob das dieser Meldung zugrunde liegende Ereignis ein Unfall im Sinne von Art. 4 ATSG war; die Übernahme von Leistungen wurde in der Folge zu Recht abgelehnt.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frist- und formgerecht beim örtlich wie sachlich zuständigen Gericht erhobene Beschwerde ist einzutreten.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