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15 356 vom 18. Juni 2013</w:t>
      </w:r>
    </w:p>
    <w:p>
      <w:r>
        <w:t>BL Gerichte, 2013-06-18, DE</w:t>
      </w:r>
    </w:p>
    <w:p>
      <w:r>
        <w:rPr>
          <w:b/>
        </w:rPr>
        <w:t xml:space="preserve">Quelle: </w:t>
      </w:r>
      <w:r>
        <w:t>https://mcp.opencaselaw.ch/entscheid/bl_gerichte_725_15_356</w:t>
      </w:r>
    </w:p>
    <w:p>
      <w:r>
        <w:t>FR: BL_GERICHTE 725 15 356 du 18 juin 2013</w:t>
      </w:r>
    </w:p>
    <w:p>
      <w:r>
        <w:t>IT: BL_GERICHTE 725 15 356 del 18 giugno 2013</w:t>
      </w:r>
    </w:p>
    <w:p>
      <w:pPr>
        <w:pStyle w:val="Heading2"/>
      </w:pPr>
      <w:r>
        <w:t>Regeste</w:t>
      </w:r>
    </w:p>
    <w:p>
      <w:r>
        <w:t>Unfallversicherung Die Voraussetzungen einer Wiedererwägung der SUVA-Verfügung im Sinne von Art. 53 Abs. 2 ATSG sind nicht erfüllt, da keine zweifellose Unrichtigkeit vorliegt.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