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15 295 vom 11. Februar 2016</w:t>
      </w:r>
    </w:p>
    <w:p>
      <w:r>
        <w:t>BL Gerichte, 2016-02-11, DE</w:t>
      </w:r>
    </w:p>
    <w:p>
      <w:r>
        <w:rPr>
          <w:b/>
        </w:rPr>
        <w:t xml:space="preserve">Quelle: </w:t>
      </w:r>
      <w:r>
        <w:t>https://mcp.opencaselaw.ch/entscheid/bl_gerichte_725_15_295</w:t>
      </w:r>
    </w:p>
    <w:p>
      <w:r>
        <w:t>FR: BL_GERICHTE 725 15 295 du 11 février 2016</w:t>
      </w:r>
    </w:p>
    <w:p>
      <w:r>
        <w:t>IT: BL_GERICHTE 725 15 295 del 11 febbraio 2016</w:t>
      </w:r>
    </w:p>
    <w:p>
      <w:pPr>
        <w:pStyle w:val="Heading2"/>
      </w:pPr>
      <w:r>
        <w:t>Regeste</w:t>
      </w:r>
    </w:p>
    <w:p>
      <w:r>
        <w:t>Unfallversicherung Abweisung der Beschwerde. Es liegt keine Verletzung des Anspruchs auf rechtliches Gehör vor. Würdigung des medizinischen Sachverhalts und Überprüfung des Einkommensvergleichs; Ablehnung des Anspruchs auf eine Invalidenrente sowie auf eine Integritätsentschädigung der Unfallversicherung. Bewilligung des Gesuchs um unentgeltliche Rechtspflege.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des Beschwerdeführers ein Honorar in der Höhe von Fr. 2‘017.75 (inkl. Auslagen und 8% Mehrwertsteuer) aus der Gerichtskasse ausgerichtet. Gegen diesen Entscheid wurde vom Beschwerdeführer am 27. Mai 2016 Beschwerde beim Bundesgericht (siehe nach Vorliegen des Urteils: Verfahren-Nr. 8C_384/2016) erhoben. http://www.bl.ch/kantonsgericht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