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68 / 266 vom 26. Januar 2023</w:t>
      </w:r>
    </w:p>
    <w:p>
      <w:r>
        <w:t>BL Gerichte, 2023-01-26, DE</w:t>
      </w:r>
    </w:p>
    <w:p>
      <w:r>
        <w:rPr>
          <w:b/>
        </w:rPr>
        <w:t xml:space="preserve">Quelle: </w:t>
      </w:r>
      <w:r>
        <w:t>https://mcp.opencaselaw.ch/entscheid/bl_gerichte_720_23_68___266</w:t>
      </w:r>
    </w:p>
    <w:p>
      <w:r>
        <w:t>FR: BL_GERICHTE 720 23 68 / 266 du 26 janvier 2023</w:t>
      </w:r>
    </w:p>
    <w:p>
      <w:r>
        <w:t>IT: BL_GERICHTE 720 23 68 / 266 del 26 gennaio 2023</w:t>
      </w:r>
    </w:p>
    <w:p>
      <w:pPr>
        <w:pStyle w:val="Heading2"/>
      </w:pPr>
      <w:r>
        <w:t>Regeste</w:t>
      </w:r>
    </w:p>
    <w:p>
      <w:r>
        <w:t>IV-Rente; Würdigung der Arztberichte</w:t>
      </w:r>
    </w:p>
    <w:p>
      <w:pPr>
        <w:pStyle w:val="Heading2"/>
      </w:pPr>
      <w:r>
        <w:t>Erwägungen</w:t>
      </w:r>
    </w:p>
    <w:p>
      <w:r>
        <w:rPr>
          <w:b/>
        </w:rPr>
        <w:t>E. 2</w:t>
      </w:r>
    </w:p>
    <w:p>
      <w:r>
        <w:t>Streitig und im Folgenden zu prüfen ist, ob die IV-Stelle einen Rentenanspruch der Beschwerdeführerin ab 1. Mai 2019 zu Recht verneint hat.</w:t>
      </w:r>
    </w:p>
    <w:p>
      <w:r>
        <w:rPr>
          <w:b/>
        </w:rPr>
        <w:t>E. 2.1</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des Bundesgesetzes über den Allgemeinen Teil des Sozialversicherungsrechts [ATSG] vom 6. Oktober 2000) gewesen sind; und c. nach Ablauf dieses Jahres zu mindestens 40 % invalid (Art. 8 ATSG) sind.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w:t>
      </w:r>
    </w:p>
    <w:p>
      <w:r>
        <w:rPr>
          <w:b/>
        </w:rPr>
        <w:t>E. 4</w:t>
      </w:r>
    </w:p>
    <w:p>
      <w:r>
        <w:t>Ob eine versicherte Person als ganztägig oder zeitweilig erwerbstätig oder als nichterwerbstätig einzustufen ist,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sondern in welchem Pensum sie hypothetisch erwerbstätig wäre (BGE 133 V 504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144 I 28 E. 2.3, 125 V 146 E. 2c). Die Statusfrage beurteilt sich praxisgemäss nach den Verhältnissen, wie sie sich bis zum Erlass der Verfügung (hier: 26. Januar 2023) entwickelt haben, wobei für die hypothetische Annahme einer im Gesundheitsfall ausgeübten (Teil- ) Erwerbstätigkeit der im Sozialversicherungsrecht übliche Beweisgrad der überwiegenden Wahrscheinlichkeit erforderlich ist (BGE 144 I 28 E. 2.3, 141 V 15 E. 3.1 mit Hinweisen).</w:t>
      </w:r>
    </w:p>
    <w:p>
      <w:r>
        <w:rPr>
          <w:b/>
        </w:rPr>
        <w:t>E. 4.1</w:t>
      </w:r>
    </w:p>
    <w:p>
      <w:r>
        <w:t>Vorliegend ist nunmehr unbestritten, dass die Versicherte bis Ende 2022 bei guter Gesundheit in einem Pensum von 60 % gearbeitet hätte und ab 1. Januar 2023 in einem 100%-Pensum arbeiten würde. Umstritten ist, ob die IV-Stelle zu Recht davon ausgeht, dass die Versicherte unter Berücksichtigung der Mithilfe der Familienmitglieder in ihrer Haushalttätigkeit bis Ende 2022 nicht eingeschränkt war.</w:t>
      </w:r>
    </w:p>
    <w:p>
      <w:r>
        <w:rPr>
          <w:b/>
        </w:rPr>
        <w:t>E. 4.2</w:t>
      </w:r>
    </w:p>
    <w:p>
      <w:r>
        <w:t>Die von einer qualifizierten Person durchgeführte Abklärung vor Ort (nach Massgabe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vom 14. Dezember 2022, 8C_258/2022, E. 3.2.3 mit Hinweis).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(Urteil des Bundesgerichts vom 23. September 2022, 8C_230/2022, E. 6.2.1 mit Hinweis).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(Urteile des Bundesgerichts vom 14. Dezember 2022, 8C_258/2022, E. 3.2.3 und vom 16. Juni 2021, 9C_80/2021, E. 3.2 mit Hinweisen).</w:t>
      </w:r>
    </w:p>
    <w:p>
      <w:r>
        <w:rPr>
          <w:b/>
        </w:rPr>
        <w:t>E. 4.3</w:t>
      </w:r>
    </w:p>
    <w:p>
      <w:r>
        <w:t>Vorliegend sind keine Anhaltspunkte ersichtlich, welche die Feststellungen der Abklärungsperson in Frage stellen würden. So wird die Qualifikation der Abklärungsperson zu Recht nicht in Frage gestellt und die Abklärung wurde vor Ort und in Anwesenheit der beiden Töchter (Jahrgang 2006 und 2009) durchgeführt. Der Bericht über die Haushaltabklärung zeigt auf, dass ein Grossteil der Haushalttätigkeiten schon vor Eintritt der gesundheitlichen Einschränkungen durch den Ehemann und die Kinder erledigt wurde. In der aktuellen Situation, d.h. seit Eintritt der gesundheitlichen Probleme, seien die von der Beschwerdeführerin nicht mehr ausübbaren Tätigkeiten vom Ehemann und den Kindern übernommen worden. Gemäss Angaben im Haushaltbericht geht der Ehemann einer 60%-Tätigkeit nach. Zusätzlich ist darauf hinzuweisen, dass die Kinder zum Abklärungszeitpunkt bereits rund 13, 16 und 18 Jahre alt waren und damit durchaus in der Lage waren bzw. sind, Tätigkeiten im Haushalt zu übernehmen, wie dies im Übrigen auch durchaus früher bereits der Fall war. Wie die Vorinstanz diesbezüglich zu Recht ausführt, sind der versicherten Person im Rahmen der Schadenminderungspflicht Massnahmen zuzumuten, die ein vernünftiger Mensch in der gleichen Lage ergreifen würde, wenn er keinerlei Entschädigung zu erwarten hätte. Die Abklärungsperson ist damit nachvollziehbar davon ausgegangen, dass die Beschwerdeführerin in der Haushalttätigkeit unter Berücksichtigung der Mithilfe der Familienmitglieder nicht eingeschränkt ist. Des Weiteren ist zu berücksichtigen, dass der Abklärungsbericht vom 24. März 2022 datiert und daraus hervorgeht, dass die anfallenden Haushalttätigkeiten auch tatsächlich von der gesamten Familie erledigt werden. Es sind keine Gründe ersichtlich, weshalb dies nicht zumindest bis Ende 2022 weiterhin so gehandhabt werden könnte. Da ab 1. Januar 2023 die Beschwerdeführerin bei guter Gesundheit in einem 100%-Pensum arbeiten würde, ist ab diesem Zeitpunkt die allgemeine Methode des Einkommensvergleichs massgebend, womit auch eine allfällige Einschränkung im Haushalt nicht mehr zu prüfen ist. Damit kann auf die vorliegende Haushaltabklärung abgestellt werden. Die Vorinstanz ist folglich zu Recht davon ausgegangen, dass die Beschwerdeführerin im Haushaltbereich - unter Berücksichtigung der Mithilfe der Familienmitglieder - bis Ende 2022 nicht eingeschränkt war. 5.1 Des Weiteren ist für die Ermittlung des Invaliditätsgrades massgebend, ob und gegebenenfalls in welchem Ausmass die versicherte Person aufgrund ihrer gesundheitlichen Beeinträchtigungen arbeitsunfähig ist. 5.2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5.5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5.6 Zur Frage der beweisrechtlichen Verwertbarkeit der Berichte und Gutachten versicherungsinterner Fachpersonen – so auch der Berichte von RAD-Ärztinnen und -Ärzte – wird der Grundsatz betont, wonach ein Anstellungsverhältnis dieser Personen zum Versicherungsträger alleine nicht schon auf mangelnde Objektivität und Befangenheit schliessen lässt (BGE 125 V 351 E. 3b/ee). Diesen Berichten kommt allerdings nicht derselbe Beweiswert wie einem im Verfahren nach Art. 44 ATSG (in der bis 31. Dezember 2021 gültigen Fassung) eingeholten Gutachten externer Fachpersonen oder gar wie einem Gerichtsgutachten zu, sie sind aber soweit zu berücksichtigen, als auch nicht geringe Zweifel an der Richtigkeit ihrer Schlussfolgerungen bestehen (BGE 139 V 225 E. 5.2; 135 V 465 E. 4.7, Urteil des Bundesgerichts vom 16. September 2014, 8C 385/2014, E. 4.2.2). 5.7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w:t>
      </w:r>
    </w:p>
    <w:p>
      <w:r>
        <w:rPr>
          <w:b/>
        </w:rPr>
        <w:t>E. 7</w:t>
      </w:r>
    </w:p>
    <w:p>
      <w:r>
        <w:t>Zur Beurteilung des medizinischen Sachverhalts liegen im Wesentlichen folgende ärztlichen Berichte vor:</w:t>
      </w:r>
    </w:p>
    <w:p>
      <w:r>
        <w:rPr>
          <w:b/>
        </w:rPr>
        <w:t>E. 7.1</w:t>
      </w:r>
    </w:p>
    <w:p>
      <w:r>
        <w:t>Aus dem Austrittsbericht der C. -Klinik vom 16. April 2018 ergibt sich folgende Diagnose: Paramediane Diskushernie LWK 4/5 links mit sehr grossem Sequester und massiver Einengung des Spinalkanals. Klinisch habe sich damals ein ausgeprägtes lumboradikuläres Schmerz- und Ausfallsyndrom L4/L5 links mit Plegie der Fusshebung gezeigt. Operativ sei am 10. April 2018 eine interlaminäre Fenestration LWK 4/5 links und mikrochirchurgische Sequesterektomie vorgenommen worden. Dem Austrittsbericht ist zu entnehmen, dass aufgrund der damaligen Ausfallerscheinungen der operative Eingriff notfallmässig habe durchgeführt werden müssen. Weiter ergibt sich, dass der operative Eingriff komplikationslos durchgeführt worden sei. Die radikuläre Schmerzsymptomatik habe mit der Operation beseitigt werden können. Bei Austritt habe nur noch eine minimale lumbale Schmerzsymptomatik bestanden. Der Beschwerdeführerin wurde empfohlen, das Heben und Tragen von schweren Gegenständen sowie auch Extrembewegungen der Wirbelsäule für 6-8 Wochen postoperativ zu vermeiden.</w:t>
      </w:r>
    </w:p>
    <w:p>
      <w:r>
        <w:rPr>
          <w:b/>
        </w:rPr>
        <w:t>E. 7.2</w:t>
      </w:r>
    </w:p>
    <w:p>
      <w:r>
        <w:t>Mit Arztbericht vom 6. Dezember 2019 führt Dr. D. , Chiropraktiker SCI, aus, dass die Beschwerdeführerin weder lange sitzen noch stehen könne. Es bestehe eine Teilparese des Fusshebers links (progredient je nach Belastung) und eine massive Druckdolenz an der LWS. Aktuell habe sich die Arbeitsfähigkeit deutlich verschlechtert mit einer Fussgelenksverletzung links als Folge der Instabilität und Teilparese links. Diese sei progredient je nach Belastung. Klinisch liege eine Nervenverletzung vor, die ein invalidisierendes Ausmass erreicht habe. Langes Stehen und Treppensteigen würden die Symptomatik verschlechtern. In Bezug auf die Tätigkeit einer Dentalassistentin führt Dr. D. aus, diese Tätigkeit sei wegen der gebeugten Haltung für die Beschwerdeführerin nicht mehr zumutbar. Für eine angepasste Tätigkeit wird ein zumutbares Pensum von 2-3 Stunden festgehalten, wobei das Profil einer angepassten Tätigkeit nicht näher ausgeführt wird.</w:t>
      </w:r>
    </w:p>
    <w:p>
      <w:r>
        <w:rPr>
          <w:b/>
        </w:rPr>
        <w:t>E. 7.3</w:t>
      </w:r>
    </w:p>
    <w:p>
      <w:r>
        <w:t>In einem weiteren Bericht vom 17. Dezember 2021 hält Dr. D. fest, es bestehe ein Status nach grosser Diskushernie-Operation, postoperativ mit fortbestehender Symptomatik. Seit dem letzten Bericht sei keine wesentliche Veränderung feststellbar. Er führt aus, die Beschwerdeführerin sei zu 70 % arbeitsunfähig. Die letzte Untersuchung habe am 16. Dezember 2021 stattgefunden.</w:t>
      </w:r>
    </w:p>
    <w:p>
      <w:r>
        <w:rPr>
          <w:b/>
        </w:rPr>
        <w:t>E. 7.4</w:t>
      </w:r>
    </w:p>
    <w:p>
      <w:r>
        <w:t>Gemäss Arztbericht von Dr. D. vom 3. Mai 2022 sei die Beschwerdeführerin seit 5. März 2022 zu 100 % arbeitsunfähig. Es wird auf einen Sturz hingewiesen und auf eine Fussheberparese links. Ausserdem verschlechtere sich der Gesundheitszustand trotz der Therapie.</w:t>
      </w:r>
    </w:p>
    <w:p>
      <w:r>
        <w:rPr>
          <w:b/>
        </w:rPr>
        <w:t>E. 7.5</w:t>
      </w:r>
    </w:p>
    <w:p>
      <w:r>
        <w:t>Dr. med. E. , Fachärztin für Physikalische und Rehabilitative Medizin, Regionaler Ärztlicher Dienst (RAD), hält in ihrer Beurteilung vom 7. Juli 2022 fest, dass in einer rückenadaptierten Verweistätigkeit, wie sie die Tätigkeit einer B. -Therapeutin darstelle, keine Einschränkung der Arbeitsfähigkeit bestehe. Auf die Atteste von Dr. D. könne nicht abgestellt werden, da diese nicht mit objektivierbaren Befunden begründet seien.</w:t>
      </w:r>
    </w:p>
    <w:p>
      <w:r>
        <w:rPr>
          <w:b/>
        </w:rPr>
        <w:t>E. 7.6</w:t>
      </w:r>
    </w:p>
    <w:p>
      <w:r>
        <w:t>Dr. E. nimmt im Rahmen des Einwandverfahrens am 17. November 2022 nochmals Stellung. Sie hält fest, dass postoperativ ein komplikationsloser Verlauf zu registrieren sei. Eine Einschränkung der Arbeitsfähigkeit in einer rückenadaptierten Tätigkeit spätestens drei Monate nach der Operation könne nicht mehr begründet werden. Dr. D. erhebe keine objektivierbaren Befunde, sondern stelle einzig Arbeitsunfähigkeits-Atteste aus. Für eine neurologischortho-pädische Begutachtung bestehe keine Veranlassung. Es bleibe unverständlich, dass die Beschwerdeführerin trotz einer geltend gemachten Verschlechterung ihres Gesundheitszustandes und aufgrund eines erlittenen Sturzes sich nicht wieder beim Wirbelsäulen-Operateur gemeldet und sich diesbezüglich in fachärztliche Abklärung und Behandlung begeben habe. Vor diesem Hintergrund würden Zweifel an den vorgebrachten sogenannten neuen Beschwerden bestehen.</w:t>
      </w:r>
    </w:p>
    <w:p>
      <w:r>
        <w:rPr>
          <w:b/>
        </w:rPr>
        <w:t>E. 7.7</w:t>
      </w:r>
    </w:p>
    <w:p>
      <w:r>
        <w:t>Mit ihrer Vernehmlassung vom 12. April 2023 reicht die IV-Stelle eine weitere Stellungnahme vom 8. März 2023 von Dr. E. zu den Akten. Die Beurteilung von Dr. E. entspricht inhaltlich im Wesentlichen ihrer Stellungnahme vom 17. November 2022.</w:t>
      </w:r>
    </w:p>
    <w:p>
      <w:r>
        <w:rPr>
          <w:b/>
        </w:rPr>
        <w:t>E. 8</w:t>
      </w:r>
    </w:p>
    <w:p>
      <w:r>
        <w:t>Die IV-Stelle stützt sich in ihrer Verfügung im Wesentlichen auf die Stellungnahmen von Dr. E. , wonach die Beschwerdeführerin zu 100 % arbeitsfähig sei.</w:t>
      </w:r>
    </w:p>
    <w:p>
      <w:r>
        <w:rPr>
          <w:b/>
        </w:rPr>
        <w:t>E. 8.1</w:t>
      </w:r>
    </w:p>
    <w:p>
      <w:r>
        <w:t>Im Dezember 2019 hält Dr. D. fest, es bestehe eine Teilparese links sowie eine massive Druckdolenz an der LWS. Er führt dies auf eine Nervenverletzung zurück. Nachdem die Beschwerdeführerin eine Umschulung zur B. -Therapeutin absolviert hat, verweist Dr. D. im Dezember 2021 auf eine fortbestehende Symptomatik und hält eine 70%ige Arbeitsunfähigkeit fest. Es habe keine wesentliche Veränderung seit dem letzten Bericht gegeben. Im Rahmen der Haushaltabklärungen im März 2022 beschreibt die Beschwerdeführerin sehr konkret und detailliert, welche Einschränkungen für sie auch im Rahmen der umgeschulten Tätigkeit bestehen. So führt sie aus, sie sei am 5. März 2022 gestürzt, das linke Bein mache ihr seit Monaten zu schaffen. Die Muskeln seien verhärtet oder eingeklemmt, so dass das Bein immer wieder einschlafe und sie dann keinen Halt mehr habe. Bisher sei es zum Glück nicht zu weiteren Stürzen gekommen. Der Sturz habe ihre Rückenbeschwerden noch verstärkt. Der Rücken bereite ihr seit gut sechs Monaten wieder verstärkt Probleme. Aufgrund der Schmerzen könne sie kaum schlafen. Sie könne auch kaum Klientel behandeln und habe somit keinen wirklichen Verdienst. Sie empfange maximal vier Klienten pro Woche und dies auch nur für jeweils 30 Minuten. Eine Therapiestunde von 60 Minuten könne sie aufgrund der Beschwerden gar nicht anbieten. In seinem Bericht vom 3. Mai 2022 erhöht Dr. D. die bisher angeführte Arbeitsunfähigkeit von 70 % auf 100 %.</w:t>
      </w:r>
    </w:p>
    <w:p>
      <w:r>
        <w:rPr>
          <w:b/>
        </w:rPr>
        <w:t>E. 8.2</w:t>
      </w:r>
    </w:p>
    <w:p>
      <w:r>
        <w:t>Die Beschwerdegegnerin macht geltend, es würden keine objektivierbaren Befunde vorliegen, weshalb die Beschwerdeführerin als zu 100 % arbeitsfähig betrachtet werden könne. Die IV-Stelle beruft sich im Wesentlichen auf den Austrittsbericht der C. -Klinik vom April 2018. Auch wenn sich die Klinik in diesem Bericht – wie die Vorinstanz zu Recht festhält – positiv über den Verlauf nach der Operation äussert, ist doch anzumerken, dass dieser Bericht nur wenige Tage nach der Operation erstellt wurde und über den weiteren Verlauf wenig bekannt ist. Die Berichte von Dr. D. sind zwar sehr kurz gehalten und legen im Wesentlichen lediglich dar, dass die Rückenbeschwerden seit der Operation im April 2018 weiterhin bestehen. Auffällig ist aber, dass Dr. D. nach der Operation während längerer Zeit von einer 70%igen Arbeitsunfähigkeit ausging, diese aber im Mai 2022 auf 100 % erhöht hat. Dies deckt sich mit den Aussagen der Beschwerdeführerin anlässlich der Haushaltabklärung, wo sie auf einen Sturz im März 2022 verwies. Seit der Operation im April 2018 ist zu viel Zeit verstrichen, als dass man nun immer noch von einem komplikationslosen postoperativen Verlauf ausgehen könnte, so wie dies die IV-Stelle vorbringt. Seit dem Bericht der C. -Klinik liegen keine unabhängigen ärztlichen Berichte vor, die eine Verbesserung des Gesundheitszustandes bestätigen würden. Es ist dabei darauf hinzuweisen, dass auch der RAD selber medizinische Abklärungen hätte vornehmen können bzw. die Beschwerdeführerin für eine Untersuchung hätte aufbieten können. Solche Abklärungen wurden nicht vorgenommen. Stattdessen beruft sich die IV-Stelle im Verfügungszeitpunkt im Februar 2023 auf den Austrittsbericht der C. -Klinik vom April 2018. Dies obwohl die Arztberichte von Dr. D. und auch die Äusserungen der Beschwerdeführerin darauf hinweisen, dass der postoperative Verlauf sich eben doch nicht unproblematisch gestaltete und möglicherweise im Frühjahr 2022 aufgrund eines Sturzes eine weitere Verschlechterung eingetreten sein könnte. Zudem hat es die IV-Stelle selbst immerhin als nötig erachtet, der Beschwerdeführerin wegen ihrer gesundheitlichen Probleme eine Umschulung zu ermöglichen.</w:t>
      </w:r>
    </w:p>
    <w:p>
      <w:r>
        <w:rPr>
          <w:b/>
        </w:rPr>
        <w:t>E. 8.3</w:t>
      </w:r>
    </w:p>
    <w:p>
      <w:r>
        <w:t>Gestützt auf diese Ausführungen ergeben sich zumindest geringe Zweifel an der Einschätzung von Dr. E. , weshalb darauf nicht abgestellt werden kann. Damit ist die IV-Stelle der ihr obliegenden Untersuchungspflicht nicht rechtsgenüglich nachgekommen. Demzufolge ist die vorliegende Beschwerde in dem Sinne gutzuheissen, als dass die Angelegenheit zur Vornahme weiterer Abklärungen an die Vorinstanz zurückzuweisen ist, wobei es unter den vorliegenden Umständen angezeigt erscheint, ein verwaltungsexternes Gutachten in Auftrag zu geben. Zudem wird die IV-Stelle abzuklären haben, ob die Tätigkeit als B. -Therapeutin eine geeignete Tätigkeit ist, oder ob eine andere Tätigkeit als angepasste Tätigkeit in Frage kommt. 9.1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9.2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ist die IV-Stelle unterliegende Partei. Die ordentlichen Kosten von Fr. 800.-- werden somit ihr auferlegt, und der geleistete Kostenvorschuss ist der Beschwerdeführerin zurückzuerstatten. 9.3 Laut Art. 61 lit. g ATSG hat die obsiegende Beschwerde führende Person Anspruch auf Ersatz der Parteikosten. Da die Versicherte obsiegende Partei ist, ist ihr eine Parteientschädigung zu Lasten der IV-Stelle zuzusprechen. Der Rechtsvertreter der Versicherten hat in seiner Honorarnote vom 4. Mai 2023 für das vorliegende Verfahren einen Zeitaufwand von insgesamt 10,7 Stunden geltend gemacht, welcher sich in Anbetracht der sich stellenden Sachverhalts- und Rechtsfragen als angemessen erweist. Dieser Aufwand ist zum in Sozialversicherungsprozessen für durchschnittliche Fälle zur Anwendung gelangenden Stundenansatz von Fr. 250.-- zu entschädigen. Nicht zu beanstanden sind ferner die in der Honorarnote ausgewiesenen Auslagen im Umfang von insgesamt Fr. 69.60. Der Beschwerdeführerin ist deshalb eine Parteientschädigung in der Höhe von Fr. 2'955.95 (10,7 Stunden à Fr. 250.-- + Auslagen von Fr. 69.60 zuzüglich 7,7 % Mehrwertsteuer)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 r k a n n t : 1. Die Beschwerde wird in dem Sinne gutgeheissen, als die Verfügung der IV-Stelle Basel-Landschaft vom 10. Februar 2023 aufgehoben, die Angelegenheit zur weiteren Abklärung im Sinne der Erwägungen und zum Erlass einer neuen Verfügung an die IV-Stelle Basel-Landschaft zurückgewiesen wird. 2. Die Verfahrenskosten in der Höhe von Fr. 800.-- werden der IV-Stelle Basel-Landschaft auferlegt. Der Beschwerdeführerin wird der geleistete Kostenvorschuss in der Höhe von Fr. 800.-- zurückerstattet. 3. Die IV-Stelle hat der Beschwerdeführerin eine Parteientschädigung in der Höhe von Fr. 2'955.95 (inklusive Auslagen und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