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22 290 / 148 vom 10. März 2005</w:t>
      </w:r>
    </w:p>
    <w:p>
      <w:r>
        <w:t>BL Gerichte, 2005-03-10, DE</w:t>
      </w:r>
    </w:p>
    <w:p>
      <w:r>
        <w:rPr>
          <w:b/>
        </w:rPr>
        <w:t xml:space="preserve">Quelle: </w:t>
      </w:r>
      <w:r>
        <w:t>https://mcp.opencaselaw.ch/entscheid/bl_gerichte_720_22_290___148</w:t>
      </w:r>
    </w:p>
    <w:p>
      <w:r>
        <w:t>FR: BL_GERICHTE 720 22 290 / 148 du 10 mars 2005</w:t>
      </w:r>
    </w:p>
    <w:p>
      <w:r>
        <w:t>IT: BL_GERICHTE 720 22 290 / 148 del 10 marzo 2005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in der Höhe von Fr. 800.-- werden dem Beschwerdeführer auferlegt. Zufolge Bewilligung der unentgeltlichen Prozessführung werden die Verfahrenskosten vorläufig auf die Gerichtskasse genommen.</w:t>
      </w:r>
    </w:p>
    <w:p>
      <w:r>
        <w:rPr>
          <w:b/>
        </w:rPr>
        <w:t>E. 3</w:t>
      </w:r>
    </w:p>
    <w:p>
      <w:r>
        <w:t>Es wird keine Parteientschädigung zugesprochen. Zufolge Bewilligung der unentgeltlichen Verbeiständung wird dem Rechtsvertreter des Beschwerdeführers ein Honorar in der Höhe von Fr. 1'833.05 (inkl. Auslagen und Mehrwertsteuer) aus der Gerichtskasse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