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22 254 / 128 vom 15. Juli 2022</w:t>
      </w:r>
    </w:p>
    <w:p>
      <w:r>
        <w:t>BL Gerichte, 2022-07-15, DE</w:t>
      </w:r>
    </w:p>
    <w:p>
      <w:r>
        <w:rPr>
          <w:b/>
        </w:rPr>
        <w:t xml:space="preserve">Quelle: </w:t>
      </w:r>
      <w:r>
        <w:t>https://mcp.opencaselaw.ch/entscheid/bl_gerichte_720_22_254___128</w:t>
      </w:r>
    </w:p>
    <w:p>
      <w:r>
        <w:t>FR: BL_GERICHTE 720 22 254 / 128 du 15 juillet 2022</w:t>
      </w:r>
    </w:p>
    <w:p>
      <w:r>
        <w:t>IT: BL_GERICHTE 720 22 254 / 128 del 15 luglio 2022</w:t>
      </w:r>
    </w:p>
    <w:p>
      <w:pPr>
        <w:pStyle w:val="Heading2"/>
      </w:pPr>
      <w:r>
        <w:t>Regeste</w:t>
      </w:r>
    </w:p>
    <w:p>
      <w:r>
        <w:t>IV-Rente</w:t>
      </w:r>
    </w:p>
    <w:p>
      <w:pPr>
        <w:pStyle w:val="Heading2"/>
      </w:pPr>
      <w:r>
        <w:t>Erwägungen</w:t>
      </w:r>
    </w:p>
    <w:p>
      <w:r>
        <w:rPr>
          <w:b/>
        </w:rPr>
        <w:t>E. 2</w:t>
      </w:r>
    </w:p>
    <w:p>
      <w:r>
        <w:t>Streitig ist der Rentenanspruch des Beschwerdeführers. Massgebend ist der Sachverhalt, wie er sich bis zum Erlass der angefochtenen Verfügung vom 15. Juli 2022 entwickelt hat. Dieser Zeitpunkt bildet rechtsprechungsgemäss die zeitliche Grenze der richterlichen Überprüfungsbefugnis (BGE 129 V 1 E. 1.2). 3.1 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und nach Ablauf dieses Jahres zu mindestens 40 % invalid sind (lit. b). 3.2 Nach Art. 28 Abs. 2 IVG hat die versicherte Person Anspruch auf eine ganze Rente, wenn sie zu mindestens 70 %, auf eine Dreiviertelsrente, wenn sie zu mindestens 60 %, auf eine halbe Rente, wenn sie zu mindestens 50 % und auf eine Viertelsrente, wenn sie zu mindestens 40 % invalid ist. 3.3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3.4 Die Annahme einer allenfalls invalidisierenden psychischen Gesundheitsbeeinträchti-gung setzt eine fachärztlich (psychiatrisch) gestellte Diagnose nach einem wissenschaftlich anerkannten Klassifikationssystem voraus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 Gemäss BGE 143 V 418 sind grundsätzlich sämtliche psychischen Erkrankungen einem strukturierten Beweisverfahren nach BGE 141 V 281 zu unterziehen. Diese Abklärungen enden laut Bundesgericht stets mit der Rechtsfrage, ob und in welchem Umfang die ärztlichen Feststellungen anhand der nach BGE 141 V 281 rechtserheblichen Indikatoren auf Arbeitsunfähigkeit schliessen lassen (BGE 143 V 418 E. 7.1). 3.5 Um den Invaliditätsgrad bemessen zu können, ist die rechtsanwendende Behörde regelmässig auf Unterlagen angewiesen, die ihr vorab von Ärztinnen und Ärzten zur Verfügung zu stellen sind.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weiteren Hinweisen). 3.6 Bei der Feststellung des Gesundheitszustands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3.7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 3.8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351 E. 3b/cc). Die unterschiedliche Natur von Behandlungsauftrag des therapeutisch tätigen (Fach-)Arztes einerseits und von Begutachtungsauftrag des amtlich bestellten fachmedizinischen Experten anderseits (BGE 124 I 170 E. 4; Urteil des EVG vom 13. Juni 2001, I 506/00, E. 2b) lässt nicht zu, ein Administrativoder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4</w:t>
      </w:r>
    </w:p>
    <w:p>
      <w:r>
        <w:t>Das Administrativverfahren und der kantonale Sozialversicherungsprozess sind vom Untersuchungsgrundsatz beherrscht (Art. 43 Abs. 1 ATSG und Art. 61 lit. c ATSG). Danach haben die Verwaltung und das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5.1. Vorliegend hat die IV-Stelle zur Ermittlung der Arbeitsfähigkeit ein bidisziplinäres psychiatrisch-rheumatologisches Gutachten bei PD Dr. med. B. , FMH Psychiatrie und Psychotherapie, und Dr. med. C. , FMH Rheumatologie, eingeholt. Das psychiatrische Teilgutachten wurde am 5. November 2021, das rheumatologische Teilgutachten am 9. November 2021 erstellt. 5.2 Im rheumatologischen Teilgutachten werden als Diagnosen mit Auswirkungen auf die Arbeitsfähigkeit, ein chronisches cervicospondylogenes Syndrom, chronische Arthralgien der Hände, ein primäres Raynaud-Syndrom sowie Periarthropathia humeroscapularis rechts aufgeführt. Aus psychiatrischer Sicht werden keine Diagnosen mit Auswirkung auf die Arbeitsfähigkeit gestellt, ohne Auswirkung auf die Arbeitsfähigkeit nennt der psychiatrische Gutachter eine leichte depressive Episode sowie eine chronische Schmerzstörung mit somatischen und psychischen Faktoren. Qualitative Funktionseinbussen liegen gemäss psychiatrischem Gutachter keine vor. Die Gutachter kamen zum Ergebnis, dass der Beschwerdeführer in einer leidensangepassten Tätigkeit zu 100 % arbeitsfähig sei, wobei aus rheumatologischer Sicht das Leistungsprofil für die noch ausübbaren leichten Arbeiten wie folgt umschrieben wurde: -  Rücken: nicht dauernd sitzen oder stehen, nicht in Zwangsstellungen wie z.B. in der Vorhalte arbeiten, sich nicht dauernd repetitiv vornüberbeugen oder bücken und nicht dauernd über Kopf arbeiten. Nicht mit der HWS in Zwangsstellungen wie dauernd flektierter oder dauernd extendierter HWS arbeiten - Hände: nur in einem körperlich leichten Bereich nicht über 5 kg belasten. Fein manuelle Tätigkeiten sind ihm nicht möglich. Aufgrund der Raynaud-Symptomatik ist keine Kälteoder Nässeexposition zulässig. - Rechte Schulter: nicht dauernd mit dem rechten Arm über Schulterhöhe arbeiten, gelegentliches Arbeiten in dieser Stellung möglich. Nicht über 5 kg mit dem rechten Arm heben, stossen oder ziehen, dieses Gewicht auch nicht am langen Hebel bewältigen, körpernah ist ein derartiges Gewicht möglich. Für eine leichte, wechselbelastende, rücken-, hand- und schulterschonende Tätigkeit ohne Kälteoder Nässeexposition besteht gemäss den Gutachtern folglich eine Arbeitsfähigkeit von 100 % bezogen auf ein Ganztagespensum. 5.3 Die Parteien haben zu Recht weder zur medizinischen Beurteilung durch die Gutachter noch zu deren Einschätzung der Arbeitsfähigkeit Einwände vorgebracht. Die beiden Teilgutachten erweisen sich in der Darlegung der medizinischen Zusammenhänge und bezüglich der daraus gezogenen Schlussfolgerungen als überzeugend und schlüssig, weshalb die Beschwerdegegnerin ohne weiteres darauf abstellen durfte.</w:t>
      </w:r>
    </w:p>
    <w:p>
      <w:r>
        <w:rPr>
          <w:b/>
        </w:rPr>
        <w:t>E. 6</w:t>
      </w:r>
    </w:p>
    <w:p>
      <w:r>
        <w:t>Der Beschwerdeführer bringt im Wesentlichen vor, die Restarbeitsfähigkeit sei aufgrund des Leistungsprofils nicht verwertbar. Bei der Verwertbarkeit der Restarbeitsfähigkeit ist nicht massgebend, ob eine invalide Person unter den konkreten Arbeitsmarktverhältnissen vermittelt werden kann, sondern einzig, ob sie die ihr verbliebene Arbeitskraft noch wirtschaftlich nutzen könnte, wenn die verfügbaren Arbeitsplätze dem Angebot an Arbeitskräften entsprechen würden. Der ausgeglichene Arbeitsmarkt nach Art. 16 ATSG umfasst auch sogenannte Nischenarbeitsplätze, also Stellen- und Arbeitsangebote, bei welchen Behinderte mit einem sozialen Entgegenkommen von Seiten des Arbeitgebers rechnen können (Urteil des Bundesgerichts vom 8. Mai 2013, 8C_728/2012, E. 4.3.3).</w:t>
      </w:r>
    </w:p>
    <w:p>
      <w:r>
        <w:rPr>
          <w:b/>
        </w:rPr>
        <w:t>E. 6.1</w:t>
      </w:r>
    </w:p>
    <w:p>
      <w:r>
        <w:t>Basierend auf den medizinischen Befunden lassen sich qualitative Belastungseinschränkungen begründen, die mit dem definierten Anforderungsprofil berücksichtigt werden. Quantitative Limitierungen lassen sich jedoch gestützt auf die von den Gutachtern festgestellten Belastungsfaktoren und Ressourcen des Beschwerdeführers nicht feststellen. Der psychiatrische Gutachter legt dar, dass psychosoziale Belastungsfaktoren vorliegen, die dazu führen, dass sich der Beschwerdeführer vollständig arbeitsunfähig erlebe, was aus psychiatrischgutachterlicher Sicht nicht nachvollzogen werden könne. Es falle auf, dass die Ehefrau des Beschwerdeführers seit dem Jahr 2010 oder 2011 aufgrund von Rückenschmerzen nicht mehr arbeitsfähig sei und eine IV-Rente beziehe und der Beschwerdeführer im Jahr 2011 erstmals Rückenbeziehungsweise Nackenschmerzen entwickelt habe. Zudem bestehe aufgrund des Wegfalls seiner Arbeitsstelle eine finanziell knappe und ungewisse Situation. Trotz dieser invaliditätsfremden Belastungsfaktoren habe sich keine schwerwiegende autonomisierte psychische Fehlentwicklung ergeben. Der Beschwerdeführer könne auf ausreichend sublimierte Abwehrmechanismen zurückgreifen, um Belastungs- und Konfliktsituationen zu bewältigen. Auch sei der Beschwerdeführer im Vollbesitz seiner innerpsychischen Ressourcen und eine detaillierte Würdigung nach den ICF-Kriterien habe ergeben, dass die qualitativen Funktionsfähigkeiten aus psychiatrischer Sicht nicht beeinträchtigt seien. Die Ressourcen des Beschwerdeführers zeigen sich auch im von ihm geschilderten Tagesablauf. Er geht täglich seiner Körperpflege nach, spaziert eine halbe bis eine ganze Stunde, tätigt Einkäufe, erledigt zusammen mit seiner Ehefrau den Haushalt, kocht und erledigt Administratives. Er liest täglich gerne, besitzt eine Vitrine mit ca. 300 Büchern und kann sich bis zu einer Stunde gut konzentrieren. Ausserdem fährt er Auto, trinkt auswärts Kaffee und hat einige Kollegen, die er täglich meist um 9 Uhr und um 17 Uhr trifft. Auch pflegt er regelmässig Kontakt zu seiner Mutter und seinen Geschwistern. Auch der rheumatologische Gutachter hält fest, dass die Alltagsaktivitäten dokumentieren würden, dass in Bezug auf körperlich leichte Tätigkeiten normale Ressourcen bestehen würden. Wenn die Vorinstanz nun aufgrund der geschilderten Alltagsgestaltung des Beschwerdeführers auf persönliche Ressourcen zur Verwertbarkeit der Arbeitsfähigkeit schliesst, so ist dies durchaus nachvollziehbar.</w:t>
      </w:r>
    </w:p>
    <w:p>
      <w:r>
        <w:rPr>
          <w:b/>
        </w:rPr>
        <w:t>E. 6.2</w:t>
      </w:r>
    </w:p>
    <w:p>
      <w:r>
        <w:t>Im Zusammenhang mit der Verwertbarkeit der Arbeitsfähigkeit ist weiter auch auf die von beiden Gutachtern festgestellten Inkonsistenzen hinzuweisen. So verweist der psychiatrische Gutachter auf diverse Inkonsistenzen innerhalb der subjektiven Angaben des Exploranden und beim Vergleich derselben mit den objektiven Untersuchungsbefunden. Der Gutachter hält fest, die Beschwerdeschilderungen würden mitunter selbstlimitierend anmuten, ebenso könnten Krankheitsgewinne nicht ausgeschlossen werden. Auch der rheumatologische Gutachter hat überaus deutlich auf zahlreiche Inkonsistenzen hingewiesen. So würden sich bezüglich des chronischen zervikozephalen und zervikobrachialen Schmerzsyndroms bei der Untersuchung massive Diskrepanzen zeigen. Der Explorand habe deutlich demonstrativ gewirkt. Diesbezüglich hat der Gutachter im Anforderungsprofil zwar Einschränkungen formuliert, jedoch betont, man müsse sich im Klaren sein, dass hier eine erhebliche psychische Mitdeterminierung der Problematik vorhanden sei. Dafür würden die vagen Beschwerdeschilderungen und das Nichtansprechen auf sämtliche Therapiemassnahmen sowie die fehlende Besserung nach Sistieren der Arbeit und damit nach Wegfall der körperlichen Belastung sprechen. Der Explorand habe mit jeglichem Erwerbsleben abgeschlossen, möchte seine Ruhe haben und habe sich mit dem Leben arrangiert. Weiter macht der Rheumatologe deutlich, dass man sich auch durch die Ausführungen des Exploranden in Bezug auf die chronischen Arthralgien nicht täuschen lassen dürfe. Die Hauptursache für die Schmerzsymptomatik sei für ihn auf der psychogenen Ebene zu sehen, im Sinne eines Schmerzsyndroms ohne organische Ursache.</w:t>
      </w:r>
    </w:p>
    <w:p>
      <w:r>
        <w:rPr>
          <w:b/>
        </w:rPr>
        <w:t>E. 6.3</w:t>
      </w:r>
    </w:p>
    <w:p>
      <w:r>
        <w:t>Gestützt auf die beiden Teilgutachten, welche umfassend und schlüssig sind, erscheint absolut nachvollziehbar, dass der Beschwerdeführer trotz der berücksichtigten Einschränkungen ein Vollzeitpensum absolvieren kann. Die konkret definierten Anforderungen an zumutbare Tätigkeiten sind nicht derart einengend, dass sie der allgemeine Arbeitsmarkt praktisch nicht kennt oder sie nur unter nicht realistischem Entgegenkommen eines durchschnittlichen Arbeitgebers denkbar wären. Dem Beschwerdeführer steht trotz der formulierten Einschränkungen eine genügend breite Palette von zumutbaren Erwerbsmöglichkeiten offen, welche der ausgeglichene Arbeitsmarkt kennt. Zu denken ist dabei an Kontroll- und Überwachungsarbeiten. Solche Tätigkeiten sind zweifellos auch unter Berücksichtigung der im rheumatologischen Gutachten aufgeführten Einschränkungen (vgl. oben E. 5.2) zumutbar. Damit kann offenbleiben, ob dem Beschwerdeführer auch die von der Beschwerdegegnerin genannten Arbeiten in einer Kleinmontage zumutbar sind. Das Finden einer geeigneten Arbeitsstelle erscheint jedenfalls nicht von vornherein ausgeschlossen. Unter diesen Umständen war die Vorinstanz auch nicht gehalten, Tätigkeiten, die dem Beschwerdeführer zumutbar sind, zu benennen.</w:t>
      </w:r>
    </w:p>
    <w:p>
      <w:r>
        <w:rPr>
          <w:b/>
        </w:rPr>
        <w:t>E. 6.4</w:t>
      </w:r>
    </w:p>
    <w:p>
      <w:r>
        <w:t>Der Beschwerdegegnerin kann ausserdem gestützt auf die obigen Erwägungen nicht vorgeworfen werden, sie habe den Sachverhalt zu wenig abgeklärt, insbesondere ist nicht ersichtlich, weshalb die vom Beschwerdeführer erhobenen Informationen zu seiner Alltagsgestaltung noch fremdanamnestisch hätten überprüft werden müssen. Die Schlussfolgerung des Rheumatologen, dass gestützt auf die Alltagsgestaltung eine leichte Tätigkeit vollzeitlich möglich ist, ist nachvollziehbar und nicht zu beanstanden.</w:t>
      </w:r>
    </w:p>
    <w:p>
      <w:r>
        <w:rPr>
          <w:b/>
        </w:rPr>
        <w:t>E. 6.5</w:t>
      </w:r>
    </w:p>
    <w:p>
      <w:r>
        <w:t>Der Beschwerdeführer bringt weiter vor, zur Berechnung des Invalideneinkommens könne nicht auf die Werte aus dem ersten Arbeitsmarkt abgestellt werden. Diesbezüglich ist auf die Ausführungen zur Verwertbarkeit der Arbeitsfähigkeit (E. 6.1 - 6.3 hiervor) zu verweisen, wonach es dem Beschwerdeführer durchaus möglich wäre, gewisse Tätigkeiten und zwar solche im ersten Arbeitsmarkt trotz des gutachterlich festgestellten eingeschränkten Belastungsprofils auszuüben. Demzufolge ist das Heranziehen der Tabellenlöhne zur Festlegung des Invalideneinkommens nicht zu beanstanden, weshalb von einem Invalideneinkommen von Fr. 68'446.-- auszugehen ist. Zu ergänzen ist, dass der Beschwerdeführer zu Recht keine Einwände gegen das von der Vorinstanz berechnete Valideneinkommen in der Höhe von Fr. 69'160.-- vorgebracht hat. Damit ist der von der Beschwerdegegnerin berechnete IV-Grad von 1 % nicht zu beanstanden.</w:t>
      </w:r>
    </w:p>
    <w:p>
      <w:r>
        <w:rPr>
          <w:b/>
        </w:rPr>
        <w:t>E. 7</w:t>
      </w:r>
    </w:p>
    <w:p>
      <w:r>
        <w:t>Ebenfalls nicht gefolgt werden kann dem Beschwerdeführer soweit er geltend macht, dass die Beschwerdegegnerin ihrer Begründungspflicht nicht nachgekommen sei. Aus dem angefochtenen Entscheid geht im Wesentlichen hervor, weshalb die Vorinstanz auf das bidisziplinäre psychiatrischrheumatologische Gutachten von PD Dr. B. und Dr. C. abgestellt hat. Eine Verletzung der Begründungspflicht als Teilgehalt des rechtlichen Gehörs (Art. 29 Abs. 2 BV; zur Begründungspflicht vgl. BGE 142 II 49 E. 9.2, Urteil des Bundesgerichts vom 11. November 2019, 9C_81/2019, E. 4.4) liegt demzufolge nicht vor. Dies zeigt sich auch darin, dass der Beschwerdeführer den angefochtenen Entscheid sachgerecht beim Kantonsgericht anfechten konnte.</w:t>
      </w:r>
    </w:p>
    <w:p>
      <w:r>
        <w:rPr>
          <w:b/>
        </w:rPr>
        <w:t>E. 8</w:t>
      </w:r>
    </w:p>
    <w:p>
      <w:r>
        <w:t>Zusammenfassend ergibt sich, dass die Vorinstanz das Leistungsbegehren des Beschwerdeführers zu Recht abgewiesen hat, weshalb auch die vorliegende Beschwerde abzuweisen ist. 9.1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zu auferlegen und mit dem geleisteten Kostenvorschuss zu verrechnen sind.</w:t>
      </w:r>
    </w:p>
    <w:p>
      <w:r>
        <w:rPr>
          <w:b/>
        </w:rPr>
        <w:t>E. 8.2</w:t>
      </w:r>
    </w:p>
    <w:p>
      <w:r>
        <w:t>Dem Prozessausgang entsprechend hat der Beschwerdeführer keinen Anspruch auf eine Parteientschädigung (vgl. Art. 61 lit. g ATSG). Demgemäss wird e r k a n n t : 1. Die Beschwerde wird abgewiesen. 2. Die Verfahrenskosten in der Höhe von Fr. 800.-- werden dem Beschwerdeführer auferlegt und mit dem geleisteten Kostenvorschuss in gleicher Höhe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