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22 223 / 203 vom 1. März 2019</w:t>
      </w:r>
    </w:p>
    <w:p>
      <w:r>
        <w:t>BL Gerichte, 2019-03-01, DE</w:t>
      </w:r>
    </w:p>
    <w:p>
      <w:r>
        <w:rPr>
          <w:b/>
        </w:rPr>
        <w:t xml:space="preserve">Quelle: </w:t>
      </w:r>
      <w:r>
        <w:t>https://mcp.opencaselaw.ch/entscheid/bl_gerichte_720_22_223___203</w:t>
      </w:r>
    </w:p>
    <w:p>
      <w:r>
        <w:t>FR: BL_GERICHTE 720 22 223 / 203 du 1 mars 2019</w:t>
      </w:r>
    </w:p>
    <w:p>
      <w:r>
        <w:t>IT: BL_GERICHTE 720 22 223 / 203 del 1 marzo 2019</w:t>
      </w:r>
    </w:p>
    <w:p>
      <w:pPr>
        <w:pStyle w:val="Heading2"/>
      </w:pPr>
      <w:r>
        <w:t>Regeste</w:t>
      </w:r>
    </w:p>
    <w:p>
      <w:r>
        <w:t>IV-Rente</w:t>
      </w:r>
    </w:p>
    <w:p>
      <w:pPr>
        <w:pStyle w:val="Heading2"/>
      </w:pPr>
      <w:r>
        <w:t>Erwägungen</w:t>
      </w:r>
    </w:p>
    <w:p>
      <w:r>
        <w:rPr>
          <w:b/>
        </w:rPr>
        <w:t>E. 2</w:t>
      </w:r>
    </w:p>
    <w:p>
      <w:r>
        <w:t>Streitig und im Folgenden zu prüfen ist, ob die IV-Stelle dem Beschwerdeführer ab 1. Januar 2012 zu Recht eine Viertelsrente zugesprochen hat.</w:t>
      </w:r>
    </w:p>
    <w:p>
      <w:r>
        <w:rPr>
          <w:b/>
        </w:rPr>
        <w:t>E. 2.1</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des Bundesgesetzes über den Allgemeinen Teil des Sozialversicherungsrechts [ATSG] vom 6. Oktober 2000) gewesen sind; und c. nach Ablauf dieses Jahres zu mindestens 40 % invalid (Art. 8 ATSG) sind.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30 E. 1, 104 V 136 E. 2a und b mit Hinweisen). Die IV-Stelle hat den Invaliditätsgrad des Versicherten nach der allgemeinen Methode des Einkommensvergleichs bemessen, was vom Beschwerdeführer – zu Recht – nicht bestritten wird.</w:t>
      </w:r>
    </w:p>
    <w:p>
      <w:r>
        <w:rPr>
          <w:b/>
        </w:rPr>
        <w:t>E. 3</w:t>
      </w:r>
    </w:p>
    <w:p>
      <w:r>
        <w:t>Vorliegend ist die ärztliche Einschätzung des Gesundheitszustandes bzw. die festgestellte Arbeitsunfähigkeit, wonach der Beschwerdeführer seit dem Jahr 2011 in der bisherigen Tätigkeit zu 60 % arbeitsfähig und in einer leidensangepassten Tätigkeit zu 80 % arbeitsfähig ist, grundsätzlich nicht strittig. Umstritten ist jedoch im Wesentlichen, von welcher Tätigkeit der Gutachter als angestammter Tätigkeit ausgegangen ist. 4.1 Ausgangspunkt der Ermittlung des Invaliditätsgrades bildet die Frage, ob und gegebenenfalls in welchem Ausmass die versicherte Person aufgrund ihrer gesundheitlichen Beeinträchtigungen arbeitsunfähig ist. 4.2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4.6 Zur Frage der beweisrechtlichen Verwertbarkeit der Berichte und Gutachten versicherungsinterner Fachpersonen – so auch der Berichte von RAD-Ärztinnen und Ärzte –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(in der bis 31. Dezember 2021 gültigen Fassung) eingeholten Gutachten externer Fachpersonen oder gar wie einem Gerichtsgutachten zu, sie sind aber soweit zu berücksichtigen, als auch nicht geringe Zweifel an der Richtigkeit ihrer Schlussfolgerungen bestehen (BGE 139 V 225 E. 5.2; 135 V 465 E. 4.7, Urteil des Bundesgerichts vom 16. September 2014, 8C 385/2014, E. 4.2.2). 4.7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w:t>
      </w:r>
    </w:p>
    <w:p>
      <w:r>
        <w:rPr>
          <w:b/>
        </w:rPr>
        <w:t>E. 7</w:t>
      </w:r>
    </w:p>
    <w:p>
      <w:r>
        <w:t>Die IV-Stelle stützt sich bei ihrem Entscheid im Wesentlichen auf das bidisziplinäre neurologischpsychiatrische Gutachten von Dr. med. D. Neurologie, und Dr. med. E. , FMH Psychiatrie und Psychotherapie, sowie die Beurteilung des RAD-Arztes Dr. med. F. , FMH Psychiatrie und Psychotherapie und FMH Allgemeine Innere Medizin.</w:t>
      </w:r>
    </w:p>
    <w:p>
      <w:r>
        <w:rPr>
          <w:b/>
        </w:rPr>
        <w:t>E. 7.1</w:t>
      </w:r>
    </w:p>
    <w:p>
      <w:r>
        <w:t>Im psychiatrischen Teilgutachten vom 11. November 2020 stellte Dr. E. folgende Diagnosen mit Auswirkung auf die Arbeitsfähigkeit: 1. Eine kombinierte Persönlichkeitsstörung mit narzisstischen und anankastischen Anteilen. 2. Eine rezidivierende depressive Störung mit gegenwärtig leichtgradiger Episode. Dr. E. schätzte die Arbeitsfähigkeit in der bisherigen Tätigkeit bezogen auf ein 100%-Pensum auf 60 %. Eine angepasste Tätigkeit wäre eine solche, bei welcher der Versicherte keine leitende Funktion übernehmen müsste, respektive eine Tätigkeit ohne höheren intellektuellen Anspruch. Eine solche Tätigkeit wäre gemäss Dr. E. zu 80 % bezogen auf ein 100%-Pensum zumutbar und dies seit etwa dem Jahre 2011.</w:t>
      </w:r>
    </w:p>
    <w:p>
      <w:r>
        <w:rPr>
          <w:b/>
        </w:rPr>
        <w:t>E. 7.2</w:t>
      </w:r>
    </w:p>
    <w:p>
      <w:r>
        <w:t>Dr. D. stellte in ihrem neurologischen Teilgutachten vom 17. April 2021 folgende Diagnosen: 1. Episodische Migräne ohne Aura 2. St. n. Pfeifferschem Drüsenfieber 3. St. n. Vd. a. Borreliose ca. 2000 4. Unspezifische chronische Fatiguesymptomatik, DD funktionell, Depression Die Gutachterin kam zusammenfassend zum Schluss, dass aus neurologischer Sicht eine episodische Migräne mit Aura diagnostiziert werden könne. Die übrigen Beschwerden seien wechselhaft, diffus ausgeprägt und nicht von bestimmter Dauer oder Lokalisation. Anamnestisch würden sich keine Hinweise für eine durchgemachte Meningitis, eine Radikulitis, für Hirnnervenausfälle oder für eine Polyneuropathie finden lassen. Die neurologische Untersuchung sei unauffällig, übereinstimmend mit dem Befund in der neurologischen Begutachtung im Jahre 2018. Die Laboruntersuchung zeige keinen wegweisenden Befund, der die chronische Fatiguesymptomatik erklären würde und keine Hinweise auf eine akute Infektion. Der leicht erniedrigte Vitamin Bl2-Wert biete keine ausreichende Erklärung für die chronischen Beschwerden des Exploranden. Der Explorand sei überzeugt davon, an den Folgen einer Borrelioseinfektion zu leiden und führe die meisten seiner Beschwerden auf diese Infektion im Jahre 2000 zurück, die damals lege artis antibiotisch behandelt worden sei. Aus diesem Grund lehne er auch eine medikamentöse Therapie seiner depressiven Verstimmungen ab. Eine Neuroborreliose könne jedoch zum jetzigen Zeitpunkt aufgrund Anamnese und neurologischem Befund nicht diagnostiziert werden, auch nicht eine mögliche Neuroborreliose. Die Diagnose einer gesicherten Neuroborreliose erfordere zudem den Nachweis spezifischer Antikörper im Liquor. Eine Lumbalpunktion werde vom Exploranden abgelehnt. Dr. D. hielt fest, dass weder in der angestammten noch in einer angepassten Tätigkeit eine Arbeitsunfähigkeit bestehe.</w:t>
      </w:r>
    </w:p>
    <w:p>
      <w:r>
        <w:rPr>
          <w:b/>
        </w:rPr>
        <w:t>E. 7.3</w:t>
      </w:r>
    </w:p>
    <w:p>
      <w:r>
        <w:t>Die Konsensbesprechung der Gutachter fand am 17. März 2021 telefonisch statt. Als Ergebnis wird festgehalten, dass – da sich aus rein neurologischer Sicht keine Krankheit mit Auswirkung auf die Arbeitsfähigkeit diagnostizieren lasse – als gemeinsame Konsensbeurteilung diejenige des psychiatrischen Gutachtens übernommen werden könne. Als Anforderungsprofil der bisherigen Tätigkeit wird lediglich "X. " angegeben. 8.1. Die IV-Stelle stützt sich im Wesentlichen auf das Gutachten von Dr. E. und Dr. D. und geht demzufolge in der angefochtenen Verfügung vom 14. Juni 2022 von einer Arbeitsfähigkeit von 60 % in der bisherigen bzw. 80 % in einer angepassten Tätigkeit aus. Vorweg ist festzuhalten, dass das neurologische Gutachten schlüssig, nachvollziehbar und überzeugend ausgefallen ist. Demzufolge kann davon ausgegangen werden, dass der Beschwerdeführer aus neurologischer Sicht voll arbeitsfähig ist. 8.2. Hingegen kann auf das psychiatrische Gutachten aus diversen Gründen nicht abgestellt werden. Vorweg ist diesbezüglich festzuhalten, dass im Gutachten keine Herleitung der Diagnose der kombinierten Persönlichkeitsstörung erfolgt ist, bzw. dass die zur Erfüllung dieser Diagnose notwendigen Kriterien nicht nachvollziehbar aufgezeigt wurden. Damit ist unklar, ob diese Diagnose zu Recht angeführt wurde. Bereits deshalb ist das Gutachten mangelhaft. Des Weiteren hat der Gutachter auch nicht dargelegt, welche Auswirkungen die gestellten Diagnosen auf die Arbeitsfähigkeit haben. Ausserdem ist nicht nachvollziehbar, von welcher Tätigkeit Dr. E. als angestammter Tätigkeit ausgeht, finden sich dazu doch keine Angaben in seinem Gutachten. In der Konsensbeurteilung wird als bisherige Tätigkeit der Beruf eines X. angegeben, weshalb davon auszugehen ist, dass auch Dr. E. diese Arbeit als angestammte Tätigkeit betrachtet. Bei der Beurteilung des Gutachtens von Dr. E. geht zudem auch Dr. F. von einer angestammten Tätigkeit als X. aus. Dies wurde aber bereits im Urteil des Kantonsgerichts vom 31. Oktober 2019 als falsch bezeichnet. Die Umschulung zum X. hat der Beschwerdeführer jedenfalls erst im Rahmen einer beruflichen Massnahme der IV im Jahr 2012 aufgenommen und im Jahr 2014 abgeschlossen, weshalb diese Tätigkeit nicht als angestammte Tätigkeit herangezogen werden kann. Des Weiteren scheint Dr. E. davon auszugehen, dass der Beschwerdeführer die Tätigkeit eines X. mit einer Führungsfunktion ausgeübt hat. Diesen Schluss lässt jedenfalls das von Dr. E. festgehaltene Profil einer angepassten Tätigkeit zu, wird diesbezüglich doch ausdrücklich eine Tätigkeit ohne leitende Funktion angegeben. Aus den Akten ist jedoch nicht ersichtlich, dass der Versicherte jemals eine Tätigkeit als X. mit leitender Funktion innehatte. Ungenau erscheint auch das Profil einer angepassten Tätigkeit, wird doch ausser der bereits erwähnten Voraussetzung, die Tätigkeit dürfe keine leitende Funktion beinhalten, lediglich ausgeführt, eine solche angepasste Tätigkeit müsste ohne höheren intellektuellen Anspruch ausgeübt werden können. Ebenfalls unklar ist das Profil einer angepassten Tätigkeit, wird doch unter diesem Punkt lediglich ausgeführt, in einer solchen Tätigkeit müsste der Versicherte keine leitende Funktion ausüben respektive müsste er diese Tätigkeit ohne höheren intellektuellen Anspruch ausüben können. Geht aber Dr. E. davon aus, dass das Profil einer angepassten Tätigkeit keine Leitungsfunktion beinhalten dürfe, so ist nicht nachvollziehbar, dass der Gutachter die Ausübung einer angestammten Tätigkeit mit Leitungsfunktion zu 60 % als zumutbar erachtet. Insgesamt bleibt vorliegend mangels ausdrücklicher Angabe unklar, von welcher Tätigkeit Dr. E. als angestammter Tätigkeit ausgeht und ob diese eine Führungsfunktion beinhaltet oder nicht. Auch was den Beginn der Einschränkung der Arbeitsfähigkeit anbelangt, äussert sich Dr. E. ungenügend. Er gibt an, dass dem Versicherten die angestammte Tätigkeit etwa seit dem Jahr 2011 im Umfang von 60 % zumutbar gewesen sei, unterlässt es aber, nachvollziehbar – allenfalls unter Hinweis auf echtzeitliche Unterlagen – zu begründen, wie er zu diesem Ergebnis gelangt. In der versicherungsmedizinischen Beurteilung hält Dr. E. lediglich fest, dass der Versicherte bis 2010 zu 100 % gearbeitet habe, dies obwohl der Beschwerdeführer bereits in den Jahren 2009 und 2010 gesundheitliche Probleme hatte und – zumindest teilweise – längere Zeit arbeitsunfähig war (vgl. dazu auch die IV-Anmeldung des Beschwerdeführers vom 11. März 2011 sowie den Bericht von Dr. med. G. , FMH Psychiatrie und Psychotherapie, vom 12. Januar 2011). Dr. G. hat den Beschwerdeführer am 3. Januar 2011 untersucht und im Bericht ausgeführt, der Versicherte sei zum gegenwärtigen Zeitpunkt zu 100 % arbeitsunfähig und aufgrund seiner Untersuchungsbefunde sei die Arbeitsunfähigkeit nicht nur bis am 15. Januar 2011 ausgewiesen. Dr. med. H. , I. -Spital, hat in einem Kurzbericht vom 28. Dezember 2010 ausgeführt, der Versicherte habe sich am 30. November 2010 erstmals vorgestellt. Er suche aktuell einen neuen Psychiater. Sie empfehle eine psychotherapeutische Weiterbehandlung. Dr. med. J. , FMH Psychiatrie und Psychotherapie, hält in einem Arztbericht vom 4. April 2011 eine Arbeitsunfähigkeit von 100 % fest. Des Weiteren ist auf das Gutachten von Dr. med. K. , FMH Psychiatrie und Psychotherapie vom 5. Dezember 2016 hinzuweisen, welcher festgehalten hat, dass der Versicherte aufgrund gesundheitlicher Probleme im Zusammenhang mit dem Pfeiffer'schen Drüsenfieber 2009 bei der L. seine Kündigung eingereicht habe. Damit ergeben sich doch erhebliche Zweifel an der Einschätzung von Dr. E. , der Beschwerdeführer habe bis 2010 zu 100 % gearbeitet und hätte ab 2011 zu 60 % in der angestammten Tätigkeit arbeiten können. Unklar ist im Übrigen auch, von wem der rot angebrachte Vermerk "Beginn Psy-Therapie 25.01.2011 IV-Gesuch vom 2011" im Gutachten von Dr. E. stammt und von wann dieser Vermerk stammt. 8.3 Zusammenfassend ist festzuhalten, dass am Gutachten von Dr. E. erhebliche Zweifel bestehen. So fehlt es an einer Herleitung der diagnostizierten Persönlichkeitsstörung und einer Begründung, welche Auswirkung diese auf die Arbeitsfähigkeit hat. Zudem ist das Gutachten insofern fehlerhaft, als der Gutachter wohl von einer angestammten Tätigkeit als X. ausgegangen ist, obwohl das Kantonsgericht diese Annahme bereits im Urteil vom 31. Oktober 2019 als falsch bezeichnet hat. Aber auch das Profil einer möglichen Verweistätigkeit erscheint ungenau. Des Weiteren mangelt es an einer Begründung des Zeitpunkts des Eintritts und der Quantifizierung der rückwirkend festgestellten Arbeitsunfähigkeit. Auf das Gutachten kann folglich nicht abgestellt werden. 9.1 Gemäss bundesgerichtlicher Rechtsprechung hat das angerufene kantonale Versicherungsgericht im Regelfall selbst ein Gerichtsgutachten einzuholen, wenn es einen im Verwaltungsverfahren anderweitig erhobenen Sachverhalt überhaupt für gutachterlich abklärungsbedürftig hält oder wenn eine Administrativexpertise in einem rechtserheblichen Punkt nicht beweiskräftig ist. Eine Rückweisung an die IV-Stelle ist zulässig, wenn sie allein in der notwendigen Erhebung einer bisher vollständig ungeklärten Frage begründet liegt oder wenn lediglich eine Klarstellung, Präzisierung oder Ergänzung von gutachterlichen Ausführungen erforderlich ist (vgl. BGE 137 V 210 E. 4.4.1 ff.). 9.2. Gestützt auf die obigen Erwägungen ergibt sich, dass das Gutachten diverse Mängel aufweist. Dies allein müsste nicht zwingend zu einer Rückweisung der Angelegenheit an die Vorinstanz führen, hätte das Kantonsgericht doch die Möglichkeit, ein Gerichtsgutachten einzuholen. Es zeigt sich jedoch, dass neben dem mangelhaften Gutachten weitere Unklarheiten bestehen. So bleibt unklar, von welcher Tätigkeit als angestammter Tätigkeit auszugehen ist und ob diese Tätigkeit eine Leitungsfunktion beinhaltet. Dies ist auch für die vom Arzt zu beurteilende Arbeitsfähigkeit entscheidend und zeigt auch Auswirkungen auf die Berechnung des Valideneinkommens, sofern nicht auf die Angaben des ehemaligen Arbeitgebers, sondern auf Tabellenlöhne abzustellen ist. In diesem Zusammenhang müsste auch der Frage nachgegangen werden, ob der Beschwerdeführer seine Anstellung bei der L. im Jahr 2009 selbst gekündigt hat (wie er bei Dr. E. angegeben hat) oder ob ihm gekündigt wurde (vgl. Arztbericht der M. vom 22. Dezember 2011). Diese Unklarheiten haben auch dazu geführt, dass die von der Beschwerdegegnerin vorgenommene Berechnung des Invaliditätsgrades nicht überzeugen kann. So gibt die IV-Stelle für die Berechnung des Valideneinkommens an, von der "LSE 2012, Tabelle T11, Sektor Höhere Berufsbildung, Fachschule, Kompetenzniveau ohne Kader, Spalte Männer, Fr. 7'954.--" monatlich, auszugehen. Dabei handelt es sich wohl um das Kompetenzniveau ohne Kaderfunktion. Diesbezüglich stellt sich dann die Frage, weshalb von einem Kompetenzniveau ohne Kaderfunktion ausgegangen wird, während Dr. E. anscheinend von einer angestammten Tätigkeit mit Führungsfunktion ausgeht. 9.3 Gestützt auf diese Erwägungen ergibt sich, dass die angefochtene Verfügung aufzuheben und die Angelegenheit zur weiteren Abklärung an die IV-Stelle zurückzuweisen ist. Diese hat den Gesundheitszustand und die Arbeitsfähigkeit des Versicherten im Rahmen eines neuen verwaltungsexternen psychiatrischen Gutachtens abklären zu lassen. Die IV-Stelle wird weiter abzuklären haben, von welcher Tätigkeit der Gutachter als angestammter Tätigkeit auszugehen hat und ob der Beschwerdeführer in dieser Tätigkeit eine Leitungsfunktion innehatte. Im Zusammenhang mit der Berechnung des Valideneinkommens kann auch massgebend sein, ob der Beschwerdeführer seine Anstellung im Jahre 2009 selbst gekündigt hat oder ob ihm gekündigt wurde. Gestützt auf die Ergebnisse ihrer zusätzlichen Abklärungen wird die IV-Stelle anschliessend über den Rentenanspruch des Versicherten neu zu befinden haben. Die vorliegende Beschwerde ist in diesem Sinne gutzuheissen. 10.1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10.2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ihr auferlegt, und der geleistete Kostenvorschuss ist dem Beschwerdeführer zurückzuerstatten. 10.3 Laut Art. 61 lit. g ATSG hat die obsiegende Beschwerde führende Person Anspruch auf Ersatz der Parteikosten. Da der Versicherte obsiegende Partei ist, ist ihm eine Parteientschädigung zu Lasten der IV-Stelle zuzusprechen. Die Rechtsvertreterin des Versicherten hat in ihrer Honorarnote vom 2. November 2022 für das vorliegende Verfahren einen Zeitaufwand von insgesamt 13,4 Stunden geltend gemacht, welcher sich in Anbetracht der sich stellenden Sachverhalts- und Rechtsfragen als angemessen erweist. Dieser Aufwand ist zum in Sozialversicherungsprozessen für durchschnittliche Fälle zur Anwendung gelangenden Stundenansatz von Fr. 250.-- zu entschädigen. Nicht zu beanstanden sind ferner die in der Honorarnote ausgewiesenen Auslagen im Umfang von insgesamt Fr. 101.60. Dem Beschwerdeführer ist deshalb eine Parteientschädigung in der Höhe von Fr. 3'717.35 (13,4 Stunden à Fr. 250.-- + Auslagen von Fr. 101.60 zuzüglich 7,7 % Mehrwertsteuer) zu Lasten der IV-Stelle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11.3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 r k a n n t : 1. Die Beschwerde wird in dem Sinne gutgeheissen, als die Verfügung der IV-Stelle Basel-Landschaft vom 14. Juni 2022 aufgehoben, die Angelegenheit zur weiteren Abklärung im Sinne der Erwägungen und zum Erlass einer neuen Verfügung an die IV-Stelle Basel-Landschaft zurückgewiesen. 2. Die Verfahrenskosten in der Höhe von Fr. 800.-- werden der IV-Stelle Basel-Landschaft auferlegt. Dem Beschwerdeführer wird der geleistete Kostenvorschuss in der Höhe von Fr. 800.-- zurückerstattet. 3. Die IV-Stelle hat dem Beschwerdeführer eine Parteientschädigung in der Höhe von Fr. 3'717.35 (inklusive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