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21 168/156 vom 31. März 2006</w:t>
      </w:r>
    </w:p>
    <w:p>
      <w:r>
        <w:t>BL Gerichte, 2006-03-31, DE</w:t>
      </w:r>
    </w:p>
    <w:p>
      <w:r>
        <w:rPr>
          <w:b/>
        </w:rPr>
        <w:t xml:space="preserve">Quelle: </w:t>
      </w:r>
      <w:r>
        <w:t>https://mcp.opencaselaw.ch/entscheid/bl_gerichte_720_21_168_156</w:t>
      </w:r>
    </w:p>
    <w:p>
      <w:r>
        <w:t>FR: BL_GERICHTE 720 21 168/156 du 31 mars 2006</w:t>
      </w:r>
    </w:p>
    <w:p>
      <w:r>
        <w:t>IT: BL_GERICHTE 720 21 168/156 del 31 marzo 2006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29. April 2021 aufgehoben und die Angelegenheit zur erneuten Abklärung im Sinne der Erwägungen und zum Erlass einer neuen Verfügung an die IV-Stelle BaselLandschaft zurückgewiesen wird.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</w:t>
      </w:r>
    </w:p>
    <w:p>
      <w:r>
        <w:rPr>
          <w:b/>
        </w:rPr>
        <w:t>E. 3</w:t>
      </w:r>
    </w:p>
    <w:p>
      <w:r>
        <w:t>Die IV-Stelle Basel-Landschaft hat der Beschwerdeführerin eine Parteientschädigung in der Höhe von Fr. 3'591.40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