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20 438/132 vom 20. Mai 2021</w:t>
      </w:r>
    </w:p>
    <w:p>
      <w:r>
        <w:t>BL Gerichte, 2021-05-20, DE</w:t>
      </w:r>
    </w:p>
    <w:p>
      <w:r>
        <w:rPr>
          <w:b/>
        </w:rPr>
        <w:t xml:space="preserve">Quelle: </w:t>
      </w:r>
      <w:r>
        <w:t>https://mcp.opencaselaw.ch/entscheid/bl_gerichte_720_20_438_132</w:t>
      </w:r>
    </w:p>
    <w:p>
      <w:r>
        <w:t>FR: BL_GERICHTE 720 20 438/132 du 20 mai 2021</w:t>
      </w:r>
    </w:p>
    <w:p>
      <w:r>
        <w:t>IT: BL_GERICHTE 720 20 438/132 del 20 maggio 2021</w:t>
      </w:r>
    </w:p>
    <w:p>
      <w:pPr>
        <w:pStyle w:val="Heading2"/>
      </w:pPr>
      <w:r>
        <w:t>Regeste</w:t>
      </w:r>
    </w:p>
    <w:p>
      <w:r>
        <w:t>Berufliche Massnahmen</w:t>
      </w:r>
    </w:p>
    <w:p>
      <w:pPr>
        <w:pStyle w:val="Heading2"/>
      </w:pPr>
      <w:r>
        <w:t>Erwägungen</w:t>
      </w:r>
    </w:p>
    <w:p>
      <w:r>
        <w:rPr>
          <w:b/>
        </w:rPr>
        <w:t>E. 3</w:t>
      </w:r>
    </w:p>
    <w:p>
      <w:r>
        <w:t>Gemäss ständiger Rechtsprechung des Bundesgerichts ist eine Neuanmeldung nach vorangegangener Ablehnung eines Leistungsgesuchs (um Rente, Hilflosenentschädigung oder Eingliederungsmassnahmen) nur zu prüfen,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muss (Art. 87 Abs. 3 in Verbindung mit Abs. 2 der Verordnung über die Invalidenversicherung [IVV] vom 17. Januar 1961; vgl. Urteil des Bundesgerichts vom 22. September 2020, 9C_287/2020, E. 1.3.1 mit zahlreichen Hinweisen). Tritt die Verwaltung auf ein Revisionsgesuch oder eine Neuanmeldung ein, so hat sie die Sache materiell abzuklären und sich zu vergewissern, ob die von der versicherten Person glaubhaft gemachte Veränderung des rechtserheblichen Sachverhalts auch tatsächlich eingetreten ist (SVR 2011 IV Nr. 2 E. 3.2; vgl. BGE 117 V 198 E. 4b). Stellt sie fest, dass seit Erlass der früheren rechtskräftigen Verfügung keine Veränderung eingetreten ist, weist sie das neue Gesuch ab. Andernfalls hat sie zu prüfen, ob die festgestellte Veränderung genügt, um nunmehr einen Leistungsanspruch zu bejahen, und hernach zu beschliessen. Im Beschwerdefall obliegt die gleiche materielle Prüfungspflicht auch dem Gericht (SVR 2008 IV Nr. 35 E. 2.1; vgl. BGE 117 V 198 E. 3a). Zeitliche Vergleichsbasis ist im vorliegenden Fall die leistungsablehnende rechtskräftige Verfügung der IV-Stelle vom 20. Juni 2019 und die vorliegend angefochtene Verfügung vom 9. Oktober 2020.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in Bezug auf welche Tätigkeiten die versicherte Person arbeitsunfähig ist (vgl.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157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4.4 Die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2bis IVG). Die RAD können bei Bedarf selber ärztliche Untersuchungen von Versicherten durchführen. Sie halten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(vgl. BGE 135 V 254 E. 3.4; Urteil des Bundesgerichts vom 16. September 2014, 8C_385/2014, E. 4.2.1). 4.5 Der Beweiswert von RAD-Berichten nach Art. 49 Abs. 2 IVV ist mit jenem externer medizinischer Sachverständigengutachten vergleichbar, sofern sie den praxisgemässen Anforderungen an ein ärztliches Gutachten (vgl. BGE 134 V 231 E. 5.1) genügen und die Arztperson über die notwendigen fachlichen Qualifikationen verfügt (vgl.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Für die Beurteilung des vorliegenden Falls sind im Wesentlichen nachfolgende Berichte zu berücksichtigen: 6.2.1 In Bezug auf die rechtskräftige Verfügung vom 19. Juni 2019 ist auf den Bericht von Dr. med. F.____, FMH Chirurgie sowie Orthopädische Chirurgie und Traumatologie des Bewegungsapparats, vom 20. April 2017 hinzuweisen. Dr. F.____ nannte (1) einen Status nach diagnostischer Arthroskopie, valgisierender medial-aufklappender proximaler Tibiaosteotomie und Knorpelrekonstruktion mittels Novocartmembran des medialen Femurkondylus am rechten Knie vom 8. Juni 2016 und (2) eine stoffwechselaktive Raumforderung der Poplitea links, differentialdiagnostisch (DD) eine Chondromatose bei Status nach Tumorresektion circa 2004. In der Zwischenanamnese wurde erwähnt, dass der Patient weiterhin über Beschwerden im rechten Kniegelenk klage. Diese würden sich vor allem infrapatellar und nur geringgradig im Bereich der medialen Osteotomie akzentuieren. Zum aktuellen Zeitpunkt zeige sich weiterhin ein Osteotomiespalt. Als ersten Schritt empfahl Dr. F._____ eine CT-Untersuchung, um anschliessend im Rahmen einer konsolidierten Osteotomie die Metallentfernung durchführen zu können. Der Beschwerdeführer sei 100% arbeitsunfähig als Gärtner. In einer leichten respektive einer sitzenden Tätigkeit bestünde eine volle Arbeitsfähigkeit. Der Versicherte sei grundsätzlich für eine Umschulung und eine Reintegration in einen neuen beruflichen Alltag qualifiziert. Ein Wiedereinstieg als Gärtner sei eher unwahrscheinlich. 6.2.2 In seiner RAD-Beurteilung diagnostizierte Dr. E.____ am 6. Juni 2017 mit Auswirkung auf die Arbeitsfähigkeit eine eingeschränkte Belastbarkeit des rechten Knies bei posttraumatisch progredientem Knorpelverschleiss nach Arbeitsunfall am 17. April 2014. Weiter hielt er fest, dass die medizinischen Angaben plausibel seien. Eine massgeblich eingeschränkte Kniefunktion für einseitige Kniegelenkbelastungen, wie sie in der bis anhin ausgeübten Tätigkeit nachvollziehbar vorgekommen seien, sei ausgewiesen. Er weise eine bleibende Einschränkung von mindestens 20% in der angestammten Tätigkeit als Landschaftsgärtner auf. Dagegen könne dem Beschwerdeführer in einer entsprechend angepassten Tätigkeit (schwerpunktmässig sitzend, spontane Wechselbelastung) eine unlimitierte Arbeitsfähigkeit zugemutet werden. Er könne keine einseitig gehende oder stehende Tätigkeit ausüben und er dürfe keine Schläge oder Vibrationen auf das betroffene Gelenk erleiden. Er sei auch uneingeschränkt massnahmefähig. 6.3.1 Am 19. November 2020 nahm Dr. E.____ zu den Ausführungen in der Beschwerde vom 12. November 2020 Stellung und hielt fest, dass sich medizinisch seit der letzten RAD-Beurteilung vom 6. Juni 2017 insofern eine Verschlechterung ergeben habe, als der Versicherte nun Probleme an beiden Kniegelenken habe, die jeweils operativ behandelt worden seien. An der versicherungsmedizinisch beurteilten Zumutbarkeit vom 6. Juni 2017 ändere sich dadurch jedoch nichts, denn das ursprünglich eingeschränkte Belastungsprofil für das rechte Kniegelenk schliesse bereits ein Schonprofil für das nunmehr auch symptomatische und zunehmend eingeschränkt belastbare linke Kniegelenk mit ein. Am bisherigen Zumutbarkeitsprofil im Sinne einer 100%igen Arbeitsfähigkeit in einer schwerpunktmässig sitzenden Tätigkeit, ohne einseitige Kniebelastungen und ohne Schläge oder Vibrationen auf die betroffenen Gelenke könne unverändert festgehalten werden. 6.3.2 Im Rahmen des vorliegenden Beschwerdeverfahrens reichte der Beschwerdeführer zwei Arztberichte ein. Die G.____ hielt am 13. Januar 2021 betreffend einen Anspruch auf Umschulung fest, dass diese Frage im Rahmen einer Evaluation der funktionellen Leistungsfähigkeit (EFL) durch eine entsprechende Fachperson abgeklärt werden müsse. Im Bericht des Spitals H.____ vom 12. Februar 2021 nannte Dr. med. I.____, FMH Orthopädische Chirurgie und Traumatologie des Bewegungsapparats, am rechten Knie eine beginnende mediale Gonarthrose, persistierende Kniegelenksbeschwerden mit/bei Status nach Entfernung des Osteosynthesematerials (OSME) rechts am 7. August 2017, nach Arthroskopie, mit valgisierender proximaler Tibiaosteotomie und Knorpelrekonstruktion mittels Novocartmembran am 8. September 2016, nach Kniearthroskopie, Débridement und Mikrofrakturierung im Mai 2014 und nach Distorsionstrauma am 17. April 2014. Am linken Knie bestünde ein Status nach Rezidiv-resektion einer synovialen Chondromatose am 24. September 2018 und ein Status nach Resektion im Jahr 2005. Es liege eine beginnende, aber progrediente mediale Gonarthrose nach mehrfachen operativen Interventionen mit Knorpelprozedur vor. Zuletzt seien im Jahr 2016 eine Umstellungsosteotomie, eine zellfreie Knorpelreparatur und eine OSME vorgenommen worden. Aufgrund der MRT vom 18. Januar 2019 seien erhebliche Knorpelschäden im medialen Femurkondylus erkennbar. Auch patellofemoral bestünden erhebliche Knorpelverletzungen mit teilweiser Delamination von Knorpelstückchen. Somit sei eine schwere körperliche Arbeit, wie der Gärtnerberuf, nicht zu empfehlen. Insbesondere das Knien, Hocken und Tragen von schweren Gegenständen sei nicht mehr dauerhaft möglich. Daher sei eine überwiegend sitzende, noch besser eine wechselbelastende Tätigkeit mit regelmässigen Pausen zu empfehlen. Da bei einer erheblichen patellofemoralen Knorpeldegeneration durchaus auch längeres Sitzen Schmerzzustände verursachen könne, sei auch eine überwiegend sitzende Tätigkeit nur mit entsprechenden Pausen oder zumindest nicht zu 100% mit 8 Stunden pro Tag möglich. 6.3.3 Dr. E.____ führte zu den vorstehenden Berichten am 11. März 2021 aus, dass eine EFL zur Beurteilung des zumutbaren ergonomischen Profils nicht unbedingt erforderlich sei, weil die objektiven Befunde eindeutig keine kniebelastenden Tätigkeiten mehr zulassen würden (keine schwere körperliche Arbeit, kein Knien oder Hocken etc.). Andererseits könne jedoch eine schwerpunktmässig sitzende Tätigkeit uneingeschränkt zugemutet werden. Die per se unstrittigen Knorpelschäden, schwerpunktmässig im Retropatellargelenk hinter der Kniescheibe, könnten zwar bei längerem Sitzen in stark gebeugter Kniehaltung zu Schmerzen führen. Dem Versicherten wäre es jedoch möglich und auch zumutbar, seine Knie im Sitzen zur Entlastung zeitweise auszustrecken und zu lockern. Die Kniestellung am Schreibtisch sei nämlich nicht zwingend in extremer Kniebeugestellung erforderlich, sondern lasse unter dem Schreibtisch durchaus eine gewisse Entlastungshaltung in Streckstellung zu, so dass zusammen mit intermittierendem Aufstehen auch eine schwerpunktmässig sitzende Tätigkeit durchaus unlimitiert, nämlich in einem Vollzeitpensum 8 Stunden/Tag zumutbar sei. Es seien zudem auch betriebsübliche Pausen von jeweils 15 Minuten am Vormittag und am Nachmittag sowie eine halbstündige Mittagspause vorgesehen. Konkrete objektive Befunde mit Funktionseinschränkungen der betroffenen Kniegelenke, die auch in einer entsprechenden angepassten Tätigkeit eine massgebliche Limitierung der Arbeitsfähigkeit plausibel nahelegen oder gar begründen könnten, würden von Dr. I.____ nicht vorgebracht. In diesem Sinne postuliere dieser auch keine massgebliche Reduktion des Arbeitspensums, sondern formuliere eher allgemein, dass auch längeres Sitzen zu Schmerzzuständen führen könne. Dies sei eine Feststellung, mit welcher aber nicht zwingend eine relevante Reduktion des Pensums einhergehen müsse. Zur Feststellung dieser Ausführungen sei anhand der aussagefähigen objektiven Befunde und unter ergonomischen Überlegungen nicht unbedingt eine eigene Untersuchung von Nöten, wie dies in der Beschwerdeschrift moniert werde. Dr. E.____ kam aufgrund dieser Ausführungen zum Schluss, dass auch die nachgereichten medizinischen Berichte die bisherige, medizinisch-theoretische RAD-Beurteilung einer zeitlich und leistungsmässig uneingeschränkten Arbeitsfähigkeit in einer Knie angepassten Tätigkeit nicht zu widerlegen vermögen. 7.1 Die IV-Stelle stützte ihre Verfügung vom 9. Oktober 2020 bei der Beurteilung des Anspruchs des Beschwerdeführers auf berufliche Massnahmen auf die Ausführungen ihres RAD-Arztes Dr. E.____ vom 6. Juni 2017 und ging davon aus, dass der Versicherte wegen seinen Kniebeschwerden in der angestammten Tätigkeit als Landschaftsgärtner zu mindestens 20% in der Arbeitsfähigkeit eingeschränkt sei. Eine schwerpunktmässig sitzende Tätigkeit mit spontaner Wechselbelastung sei ihm aber zu 100% zumutbar. Im Rahmen des vorliegenden Beschwerdeverfahrens bestätigte Dr. E.____ am 19. November 2020 diese Einschätzung. Dieser vorinstanzlichen Beweiswürdigung kann nicht gefolgt werden. Wie oben ausgeführt, ist zwar nicht zu beanstanden, dass ein Versicherungsträger seinen Entscheid auf medizinische Unterlagen stützt, die versicherungsintern eingeholt wurden.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4.5 hiervor und die dortigen Hinweise auf die entsprechende bundesgerichtliche Rechtsprechung). Vorliegend ergeben sich insbesondere betreffend die Einschätzung der Arbeitsfähigkeit in einer Verweistätigkeit Zweifel an der Zuverlässigkeit und Schlüssigkeit der von der Beschwerdegegnerin als massgebend erachteten versicherungsinternen ärztlichen Feststellungen, wie sich aus den nachstehenden Ausführungen ergibt. 7.2 Im Rahmen des vorliegenden Verfahrens hielt Dr. E.____ in seinem Bericht vom 19. November 2020 fest, dass sich medizinisch seit der letzten RAD-Beurteilung vom 6. Juni 2017 eine Verschlechterung des Gesundheitszustands ergeben habe. Der Versicherte habe zwischenzeitlich Probleme mit beiden Kniegelenken, die jeweils operativ behandelt worden seien. Trotz dieser Feststellung hielt er an seiner ursprünglichen Zumutbarkeitsbeurteilung fest und erachtete den Beschwerdeführer in einer schwerpunktmässig sitzenden Tätigkeit als 100% arbeitsfähig. Diese Einschätzung greift insbesondere unter Berücksichtigung des im Rahmen des vorliegenden Verfahrens eingereichten Berichts von Dr. I.____ vom 12. Februar 2021 zu kurz. In diesem Zusammenhang ist zwar festzustellen, dass nach ständiger bundesgerichtlicher Rechtsprechung das Sozialversicherungsgericht die Gesetzmässigkeit der Verwaltungsverfügungen in der Regel nach dem Sachverhalt beurteilt, der zur Zeit des Verfügungserlasses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jedoch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die Verfahrensrechte der Parteien, insbesondere deren Anspruch auf rechtliches Gehör, respektiert worden sind (vgl. Urteil des Bundesgerichts vom 15. Oktober 2015, 9C_540/2015, E. 3.1 mit Hinweisen; BGE 130 V 138 E. 2.1). Spätere Arztberichte sind in die Beurteilung miteinzubeziehen, soweit sie Rückschlüsse auf die im Zeitpunkt des Abschlusses des Verwaltungsverfahrens gegebene Situation erlauben (vgl. Urteil des Bundesgerichts vom 20. April 2017, 8C_71/2017, E. 8.3 mit Hinweisen). Diese Voraussetzungen sind vorliegend erfüllt. Zunächst steht fest, dass die Ausführungen von Dr. I.____ am 12. Februar 2021 Rückschlüsse auf die Situation im Verfügungszeitpunkt zulassen, nahm er doch in seiner Beurteilung auch Bezug auf den Krankheitsverlauf und den Zustand vor Erlass des ablehnenden Entscheids. Zudem konnten sich auch die Beschwerdegegnerin hinlänglich zum Gesundheitszustand und zu dessen Entwicklung bis zum Zeitpunkt der Ausführungen von Dr. I.____ äussern (vgl. Bericht von Dr. E.____ vom 11. März 2021). Der Bericht von Dr. I.____ vom 12. Februar 2021 ist daher im vorliegenden Verfahren zu berücksichtigen. Darin weist er in Bezug auf die Zumutbarkeit der Ausübung einer adaptierten Verweistätigkeit darauf hin, dass bei der bestehenden erheblichen patellofemoralen Knorpeldegeneration auch längeres Sitzen Schmerzzustände verursachen könne. Daraus schloss er, dass auch eine überwiegend sitzende Tätigkeit nur mit entsprechenden Pausen oder zumindest nicht zu 100% mit 8 Stunden pro Tag möglich sei. Obwohl auch Dr. I.____ Einschätzung vage ist, kann entgegen der Auffassung von Dr. E._____ in seinem Bericht vom 11. März 2021 dennoch nicht ohne weiteres auf eine unlimitierte Arbeitsfähigkeit in einer adaptierten, schwerpunktmässig sitzenden Verweistätigkeit geschlossen werden. Daran ändern auch seine Hinweise auf Entlastungsmöglichkeiten und Pausen nichts, denn gemäss Dr. I.____ ist fraglich, ob eine vollständige Arbeitsfähigkeit auch unter Einhaltung dieser Vorgaben in einer angepassten Arbeitsstelle möglich ist. Dies führt dazu, dass Zweifel an der Zuverlässigkeit und Schlüssigkeit der Zumutbarkeitsbeurteilung des RAD-Arztes bestehen, weshalb auf seine Ausführungen nicht abgestellt werden kann (vgl. oben E. 4.5). 7.3 Damit steht fest, dass die vorhandenen medizinischen Unterlagen keine abschliessende Beurteilung der Frage zulassen, ob der Beschwerdeführer die Voraussetzungen einer der vorliegend im Raum stehenden beruflichen Massnahmen (Umschulung/Arbeitsvermittlung) erfüllt. Dies lässt sich auch aufgrund des Berichts von Dr. I.____ vom 12. Februar 2021 nicht mit überwiegender Wahrscheinlichkeit abschliessend beurteilen. Die Untersuchungsergebnisse aus dem Verwaltungsverfahren sind daher nicht ausreichend beweiskräftig, weshalb darauf nicht abgestellt werden kann. 8.1 Rechtsprechungsgemäss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(vgl. BGE 137 V 210 ff. E. 4.4.1 ff.). 8.2 Im vorliegenden Fall unterliess es die IV-Stelle, die für die rechtsgenügen Beurteilung nötigen Abklärungen zu veranlassen. Da es - wie vorstehend ausgeführt - nicht Aufgabe des Kantonsgerichts ist, im Verwaltungsverfahren versäumte medizinische Abklärungen nachzuholen, steht einer Rückweisung an die Vorinstanz nichts entgegen (vgl. E. 6 hiervor). Die angefochtene Verfügung vom 9. Oktober 2020 ist deshalb aufzuheben und die Angelegenheit ist zur weiteren Abklärung an die IV-Stelle zurückzuweisen. Diese hat den medizinischen Sachverhalt unter besonderer Beachtung der Einschränkung der Arbeitsfähigkeit in einer adaptierten Verweistätigkeit untersuchen zu lassen. Gestützt auf die Abklärungsergebnisse wird die IV-Stelle anschliessend neu über den Anspruch des Beschwerdeführers auf berufliche Massnahmen zu befinden haben. 9.1 Aufgrund dieses Ergebnisses würde es sich grundsätzlich erübrigen, vorliegend auf die Berechnung der Erheblichkeitsschwelle der IV-Stelle in der angefochtenen Verfügung vom 9. Oktober 2020 hinzuweisen. Allerdings ist festzustellen, dass die Berechnung der IV-Stelle fraglich ist, weshalb nachfolgend in aller Kürze darauf einzugehen ist. Dies umso mehr, als die IV-Stelle den Anspruch des Versicherten auf Umschulung in erster Linie mit der Argumentation ablehnte, dass er die Erheblichkeitsschwelle von 20% nicht erreiche. 9.2 Wie oben in Erwägung 2.2.3 angeführt, erfolgt auch die Berechnung der Erheblichkeitsschwelle nach Massgabe von Art. 16 ATSG (Einkommensvergleich). Für das Invalideneinkommen von Fr. 66'453.-- zog die IV-Stelle die Lohnstrukturerhebungen (LSE) des Bundesamts für Statistik (BFS) bei, was nicht zu beanstanden ist. Das Valideneinkommen in Höhe von Fr. 63'700.-- stützte sie auf die Angaben der letzten Arbeitgeberin. Dieses Vorgehen ist aber insofern zweifelhaft, als gemäss den Ausführungen im Zwischenzeugnis vom 29. März 2016 (vgl. act. 20, Seite 23/26) das Arbeitsverhältnis des Beschwerdeführers aus wirtschaftlichen Gründen gekündigt wurde. Unter diesen Umständen hätte die Beschwerdegegnerin wohl auch das Valideneinkommen aufgrund der LSE ermitteln müssen (vgl. Urteile des Bundesgerichts vom 25. August 2017, 8C_382/2017, E. 2.3.1 und vom 9. Juni 2015, 9C_212/2015, E. 5.4). Da dieser Aspekt Einfluss auf die Höhe der Erheblichkeitsschwelle haben könnte, wird die Beschwerdegegnerin ihn im Rahmen ihrer weiteren Abklärungen zu berücksichtigen haben.</w:t>
      </w:r>
    </w:p>
    <w:p>
      <w:r>
        <w:rPr>
          <w:b/>
        </w:rPr>
        <w:t>E. 10</w:t>
      </w:r>
    </w:p>
    <w:p>
      <w:r>
        <w:t>Somit ist als Ergebnis festzuhalten, dass die Beschwerde in dem Sinne gutzuheissen ist, als die angefochtene Verfügung vom 9. Oktober 2020 aufzuheben und die Angelegenheit zur weiteren Abklärung im Sinne der Erwägungen und zum Erlass einer neuen Verfügung an die IV-Stelle zurückzuweisen ist. 11.1 Abschliessend bleibt über die Kosten des Verfahrens zu befinden. 11.2 Beim Entscheid über die Verlegung der Verfahrens- und der Parteikosten ist grundsätzlich auf den Prozessausgang abzustellen. Hebt das Kantonsgericht einen bei ihm angefochtenen Einspracheentscheid auf und weist es die Angelegenheit zum weiteren Vorgehen im Sinne der Erwägungen und zum Erlass einer neuen Verfügung an den Versicherungsträger zurück, so gilt in prozessualer Hinsicht die Beschwerde führende Partei als (vollständig) obsiegende und der Versicherungsträger als unterliegende Partei (vgl. BGE 137 V 57 E. 2.1 f., 132 V 215 E. 6.2, je mit Hinweisen; Susanne Bolliger , Allgemeiner Teil des Sozialversicherungsrechts, Basler Kommentar, Ghislaine Frésard-Fellay/Barbara Klett/Susanne Leuzinger [Hrsg.), Basel 2019, Rz 79 zu Art. 61 ATSG). 11.3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11.4 Gemäss Art. 61 lit. g ATSG hat die obsiegende Beschwerde führende Person Anspruch auf Ersatz der Parteikosten. Dem Ausgang des Verfahrens entsprechend ist dem Beschwerdeführer deshalb eine angemessene Parteientschädigung zuzusprechen. Dessen Rechtsvertreter hat in seiner Honorarnote vom 22. März 2021 einen Zeitaufwand von 10.75 Stunden sowie Auslagen in der Höhe von Fr. 21.20 geltend gemacht. Dieser Aufwand ist nicht zu beanstanden. Dem Beschwerdeführer ist demnach für das vorliegenden Beschwerdeverfahren eine Parteientschädigung in der Höhe von Fr. 2'917.25 (10.75 Stunden à Fr. 250.-- und Auslagen von Fr. 21.20 zuzüglich 7,7% Mehrwertsteuer) zu Lasten der Beschwerdegegnerin zuzusprechen. 12.1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12.2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im Sinne der Erwägungen gutgeheissen, die angefochtene Verfügung der IV-Stelle Basel-Landschaft vom 9. Oktober 2020 aufgehoben und die Angelegenheit zur weiteren Abklärung sowie zum Erlass einer neuen Verfügung an die Beschwerdegegnerin zurückgewiesen wird. 2. Die Verfahrenskosten in der Höhe von Fr. 800.-- werden der Beschwerdegegnerin auferlegt. 3. Die IV-Stelle Basel-Landschaft hat dem Beschwerdeführer eine Parteientschädigung in der Höhe von Fr. 2'917.25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