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20 376 / 199 vom 7. September 2023</w:t>
      </w:r>
    </w:p>
    <w:p>
      <w:r>
        <w:t>BL Gerichte, 2023-09-07, DE</w:t>
      </w:r>
    </w:p>
    <w:p>
      <w:r>
        <w:rPr>
          <w:b/>
        </w:rPr>
        <w:t xml:space="preserve">Quelle: </w:t>
      </w:r>
      <w:r>
        <w:t>https://mcp.opencaselaw.ch/entscheid/bl_gerichte_720_20_376___199</w:t>
      </w:r>
    </w:p>
    <w:p>
      <w:r>
        <w:t>FR: BL_GERICHTE 720 20 376 / 199 du 7 septembre 2023</w:t>
      </w:r>
    </w:p>
    <w:p>
      <w:r>
        <w:t>IT: BL_GERICHTE 720 20 376 / 199 del 7 settembre 2023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Kosten für die gerichtliche Begutachtung in der Höhe von insgesamt Fr. 9'506.80 werden der IV-Stelle Basel-Landschaft auferlegt.</w:t>
      </w:r>
    </w:p>
    <w:p>
      <w:r>
        <w:rPr>
          <w:b/>
        </w:rPr>
        <w:t>E. 3</w:t>
      </w:r>
    </w:p>
    <w:p>
      <w:r>
        <w:t>Die Verfahrenskosten in der Höhe von Fr. 1’000.-- werden der IV-Stelle Basel-Landschaft auferlegt.</w:t>
      </w:r>
    </w:p>
    <w:p>
      <w:r>
        <w:rPr>
          <w:b/>
        </w:rPr>
        <w:t>E. 4</w:t>
      </w:r>
    </w:p>
    <w:p>
      <w:r>
        <w:t>Die IV-Stelle Basel-Landschaft hat dem Beschwerdeführer eine Parteientschädigung in der Höhe von Fr. 9'706.45 (inkl. Auslagen und 7,7 %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