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20 299/316 vom 20. Juli 2004</w:t>
      </w:r>
    </w:p>
    <w:p>
      <w:r>
        <w:t>BL Gerichte, 2004-07-20, DE</w:t>
      </w:r>
    </w:p>
    <w:p>
      <w:r>
        <w:rPr>
          <w:b/>
        </w:rPr>
        <w:t xml:space="preserve">Quelle: </w:t>
      </w:r>
      <w:r>
        <w:t>https://mcp.opencaselaw.ch/entscheid/bl_gerichte_720_20_299_316</w:t>
      </w:r>
    </w:p>
    <w:p>
      <w:r>
        <w:t>FR: BL_GERICHTE 720 20 299/316 du 20 juillet 2004</w:t>
      </w:r>
    </w:p>
    <w:p>
      <w:r>
        <w:t>IT: BL_GERICHTE 720 20 299/316 del 20 luglio 2004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19. August 2020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 3.1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3.4 Die Annahme einer allenfalls invalidisierenden psychischen Gesundheitsbeeinträchtigung setzt eine fachärztlich (psychiatrisch) gestellte Diagnose nach einem wissenschaftlich anerkannten Klassifikationssystem voraus (vgl.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schliessen lassen, sind sämtliche psychischen Erkrankungen einem strukturierten Beweisverfahren nach BGE 141 V 281 zu unterziehen.</w:t>
      </w:r>
    </w:p>
    <w:p>
      <w:r>
        <w:rPr>
          <w:b/>
        </w:rPr>
        <w:t>E. 4</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5.1 Zu prüfen ist, ob die Vorinstanz die ganze Rente zurecht revisionsweise aufgehoben hat. 5.2 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(vgl. BGE 134 131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(vgl. Urteil des Bundesgerichts vom 13. Oktober 2017, 8C_170/2017, E. 5.1 mit zahlreichen Hinweisen). 5.3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Liegt dagegen ein Revisionsgrund im Sinne von Art. 17 Abs. 1 ATSG vor, ist der Rentenanspruch in rechtlicher und tatsächlicher Hinsicht umfassend zu prüfen, wobei keine Bindung an frühere Beurteilungen besteht (vgl. BGE 141 V 9 E. 2.3; Urteil des Bundesgerichts vom 18. August 2018, 8C_145/2018, E. 3.2).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(vgl. Urteil des Bundesgerichts vom 13. Oktober 2017, 8C_170/2017, E. 5.2 mit Hinweis). 5.4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vgl. auch BGE 130 V 71 E. 3.2.3). Vorliegend sprach die IV-Stelle dem Versicherten mit Verfügung vom 20. Juli 2004 rückwirkend ab 1. April 2003 eine ganze Invalidenrente zu. Der Rentenanspruch wurde in der Folge wiederholt revisionsweise überprüft und bestätigt, wobei keine einlässlichen materiellen Abklärungen erfolgten. Im Rahmen der aktuellen Rentenrevision hob die IV-Stelle nach Vornahme einer umfassenden medizinischen und erwerblichen Abklärung die laufende ganze Invalidenrente des Versicherten mit Verfügung vom 15. Juni 2020 per 31. Juli 2020 auf. Demnach beurteilt sich die Frage, ob eine Änderung in den tatsächlichen Verhältnissen eingetreten ist, die eine revisionsweise Aufhebung der Invalidenrente rechtfertigt, durch Vergleich des Sachverhalts, wie er im Zeitpunkt der Verfügung vom 20. Juli 2004 bestanden hat, mit demjenigen im Zeitpunkt der vorliegend angefochtenen Verfügung vom 15. Juni 2020. 6.1 Die entscheidende, von den Parteien unterschiedlich beantwortete Frage des vorliegenden Verfahrens ist, ob ein Revisionsgrund im Sinne des Art. 17 ATSG gegeben ist. In diesem Zusammenhang ist zu klären, ob sich der Gesundheitszustand und der Grad der Arbeitsfähigkeit des Versicherten in einer anspruchserheblichen Weise verbessert haben. Grundlage für die Verfügung vom 20. Juli 2004 war das polydisziplinäre (internistisch-rheumatologisch-neurologisch-psychiatrische) Gutachten des ZMB vom 18. Dezember 2003. Demnach wurde mit Auswirkung auf die Arbeitsfähigkeit ein chronisches lumboradikuläres Syndrom L4 links bei nachgewiesener Diskushernie L4/5 und sensomotorischen Ausfällen diagnostiziert. Ohne Auswirkung auf die Arbeitsfähigkeit bestünde ein Verdacht auf eine arterielle Hypertonie. Die bisher durchgeführten stationären und ambulanten Therapien hätten keine Beschwerdeverbesserung gebracht. Die Schmerzsymptomatik und der Kraftverlust im linken Bein bestünden fort. In diesem Zustand sei der Versicherte als Bauarbeiter nicht mehr arbeitsfähig. Wahrscheinlich könnte der Gesundheitszustand durch eine Operation verbessert und die Arbeitsfähigkeit der Versicherte mindestens in einer rückenadaptierten Tätigkeit wiederhergestellt werden. 6.2 Im Rahmen der aktuellen Rentenrevision beauftragte die IV-Stelle die Dres. D.____ und C.____ mit einem rheumatologisch-neurologischen Gutachten. Am 15. August 2017 diagnostizierte Dr. D.____ mit Auswirkung auf die Arbeitsfähigkeit ein chronisches Lumbovertebralsyndrom bei Status nach früherem sensomotorischem radikulärem Reizsyndrom links, spondylogener Symptomatik beidseits, erosiven Osteochondrosen L4/5 und L5/S1 mit linkslateraler Diskushernie L4/5, Protrusion L5/S1 und Facettengelenksarthrosen L4/5 links sowie L5/S1 beidseits. Bildgebend könne auf der Höhe L4/5 links eine intermittierende Kompression nicht ausgeschlossen werden. Wurzelreizzeichen, Hinweise auf eine längerdauernde Schonung oder Muskelathrophien bestünden nicht. In der klinischen Untersuchung würden sich erhebliche Diskrepanzen zwischen den subjektiven Angaben und den objektiven Befunden zeigen. Aufgrund der lumbalen Diskopathien seien körperlich schwere oder mittelschwere Arbeiten nicht mehr möglich. Körperlich leichte Tätigkeiten ohne Heben, Stossen oder Ziehen von mehr als 7,5 kg, ohne dauerndes Sitzen oder Gehen und mit der Möglichkeit zum Positionswechsel seien aber ganztägig zumutbar. Das Gutachten des ZMB vom 18. Dezember 2003 enthalte keine Beurteilung der Arbeitsfähigkeit in Verweistätigkeiten. Mangels echtzeitlicher medizinischer Berichte könne der Verlauf der Arbeitsfähigkeit deshalb nicht beurteilt werden. In neurologischer Hinsicht führte Dr. C.____ am 16. August 2017 aus, dass die Untersuchung aufgrund der Schmerzäusserungen und der Abwehr des Versicherten nicht vollständig habe durchgeführt werden können. Es zeige sich das Bild einer Symptomüberlagerung und -verdeutlichung. Ein radikuläres, möglicherweise auch ein leichtgradiges sensomotorisches Reizsyndrom L4/5 links könne nicht ausgeschlossen werden. Aufgrund fehlender Muskelatrophien und negativer Wurzelzeichen sei ein solches aber unwahrscheinlich. Klinisch würden Hinweise für eine längere Minderbelastung des linken Beins fehlen. Während der Untersuchung sei auch kein rückenschonendes Verhalten/Bewegungsmuster zu beobachten. Objektive Hinweise für qualitative oder quantitative Funktionseinschränkungen könnten nicht mit Sicherheit festgestellt werden. Für die angestammte Tätigkeit als Bauarbeiter sei der Versicherte aufgrund der lumbalen Bandscheibenpathologie vollständig arbeitsunfähig. Körperlich leichte, wechselbelastende Tätigkeiten seien ihm aber aus neurologischer Sicht vollschichtig zumutbar. Diese Beurteilung gelte auch aus gesamtmedizinischer Sicht. 6.3 Die IV-Stelle beauftragte Dr. E.____ mit einem psychiatrischen Gutachten. Am 25. November 2019 stellte er fest, dass eine valide Diagnostik wegen Inkonsistenzen, Aggravation/Simulation und Zweifel an der Authentizität der geklagten subjektiven Beschwerden nicht möglich sei. Insbesondere habe der Schweregrad der vorhandenen Anpassungsstörung (ICD-10 F32), der depressiven Episode (ICD-10 F32) und der chronischen Schmerzstörung (ICD-10 F45.41) nicht zuverlässig beurteilt werden können. Die Angaben des Versicherten und die Schilderung seiner Beschwerden seien vage, allgemein, wenig konkret und durch Nachfragen kaum präzisierbar. Die Ergebnisse bei der Testung der Konzentration und der Merkfähigkeit seien unglaubwürdig. Auch die Angaben des Versicherten zur Orientierung seien zweifelhaft. Zudem würden die Validierungstests klar nachweisen, dass der Versicherte absichtlich schwere Gedächtnisstörungen vortäusche. Nach dem Kriterienkatalog für die Diagnose vorgetäuschter neurokognitiver Störungen (Slick et al. [1999]) müsse mit Sicherheit von einer bewussten Vortäuschung kognitiver Störungen ausgegangen werden. Eine valide Diagnostik und Beurteilung des Schweregrads von zweifelhaft vorhandenen Symptomen sowie allfälliger funktioneller Einschränkungen sei aus psychiatrischer Sicht nicht möglich. Folglich könne die Arbeitsfähigkeit nicht schlüssig eingeschätzt werden. 6.4 Am 28. Februar 2020 nahm der behandelnde Arzt Dr. med. F.____, FMH Psychiatrie und Psychotherapie, Stellung. Er führte aus, dass er den Versicherten seit dem 9. Januar 2018 behandle. Er diagnostizierte eine chronifizierte mittelgradig bis mittelschwer ausgeprägte depressive Störung (ICD-10 F32.11) im Rahmen einer Erschöpfungsproblematik mit ausgeprägten hypochondrischen Ängsten und Phasen von Suizidgedanken sowie eine anhaltende somatoforme Schmerzstörung (ICD-10 F45.4). Der Versicherte sei ratlos, deutlich erschöpft, verzweifelt und erheblich besorgt. Es bestünden eine depressive Stimmungslage, eine Anhädonie, ein deutlicher Antriebsverlust, Durchschlafstörungen, eine erhöhte Ermüdbarkeit und ein verlangsamtes Denken. Zudem bestünden ein vermindertes Konzentrationsvermögen und eine eingeschränkte Merkfähigkeit mit defizitären Gedächtnisleistungen. Die Antriebsarmut zeige sich in Form eines Energieverlusts und einer Durchhalteschwäche. Die psychische Belastbarkeit und das Konzentrationsvermögen seien deutlich herabgesetzt. Der Versicherte sei formalgedanklich verlangsamt und eingeengt auf die depressionsbedingten Defizite, die Schmerzsymptomatik, die Tagesmüdigkeit, die Vergesslichkeit und die Befürchtung von unheilbaren Störungen im Hinblick auf die ungewisse Zukunftsperspektive. Die Beeinträchtigungen würden sich in sämtlichen Lebensbereichen zeigen. Er sei misstrauisch gegenüber seinem Umfeld und fühle sich von vielen Ärzten nicht verstanden. Es bestünde eine herabgesetzte Stressresistenz mit affektiven Entladungen, welche die subjektive Bewertung von Ereignissen und interpersonellen Prozessen verzerren würden. Dadurch komme es zu ungewolltem Verhalten und negativen Affekten, was sich ungünstig auf den psychischen Zustand auswirke. Das psychiatrische Gutachten umfasse lediglich einen Querschnittsbefund, die Erhebung eines Längsverlaufs sei nicht aufgrund einer klinischen Beobachtung erfolgt. Eine Aggravations- oder Simulationstendenz bestünden ebenso wenig wie eine Dramatisierung der Symptomatik. Trotz ambulanter, stationärer und medikamentöser Massnahmen würden die Beschwerden persistieren. Der Versicherte sei in der angestammten Tätigkeit vollständig und in Verweistätigkeiten mindestens zu 60% arbeitsunfähig. 6.5 Zum Bericht von Dr. F.____ vom 28. Februar 2020 nahm Dr. E.____ am 22. Mai 2020 Stellung. Er hielt unter Hinweis auf das Gutachten von 25. November 2019 fest, dass er dessen Auffassung teile, wonach der Versicherte depressive Symptome und eine chronische Schmerzstörung aufweise. Aufgrund der im Rahmen der Begutachtung feststellten Inkonsistenzen sowie der Aggravation/Simulation sei aber eine valide Beurteilung nicht möglich gewesen. 7.1.1 Die IV-Stelle stützte sich in ihrer Verfügung vom 15. Juni 2020 bei der Beurteilung des somatischen Gesundheitszustands vollumfänglich auf die Erkenntnisse aus dem rheumatologisch-neurologischen Gutachten der Dres. C.____ und D.____ vom 15./16. August 2017. Sie ging demnach davon aus, dass sich der Gesundheitszustand des Beschwerdeführers seit der ursprünglichen Rentenzusprache (Verfügung vom 20. Juli 2004) wesentlich verbessert habe und ihm angepasste Tätigkeiten wiederum im Umfang von 100% zumutbar seien. Dieser Auffassung ist beizupflichten. In somatischer Hinsicht erfüllt das bidisziplinäre Gutachten Dres. C.____ und D.____ vom 15./16. August 2017 die rechtsprechungsgemässen Voraussetzungen an eine medizinische Beurteilungsgrundlage (vgl. E. 3.2 hiervor). Es weist weder formale noch inhaltliche Mängel auf, ist umfassend, berücksichtigt die geklagten Beschwerden, ist in Kenntnis der Vorakten abgegeben worden und leuchtet in der Darlegung der medizinischen Zusammenhänge bzw. der Beurteilung der medizinischen Situation ein. Sodann weist das Gutachten keine Widersprüche von entscheidrelevanter Bedeutung auf und setzt sich auch hinlänglich mit den bei den Akten liegenden Berichten auseinander. Die entsprechenden, vorstehend (vgl. E. 6.2 hiervor) wiedergegebenen Darlegungen im Gutachten vermögen zu überzeugen, sodass darauf verwiesen werden kann. Es wird deutlich, dass aus somatischer Sicht keine Befunde mehr erhoben werden konnten, die auf ein erheblich vermindertes Leistungsvermögen schliessen lassen würden. Demnach ging die IV-Stelle zu Recht davon aus, dass sich der Gesundheitszustand des Versicherten seit der ursprünglichen Rentenzusprache wesentlich verbesserte und er spätestens im Zeitpunkt der Begutachtung durch die Dres. C.____ und D.____ in angepassten Verweistätigkeiten uneingeschränkt leistungsfähig war. 7.1.2 Was in der Beschwerde dagegen vorgebracht wird, verfängt nicht. Soweit der Beschwerdeführer einwendet, das Gutachten der Dres. C.____ und D.____ vom 15./16. August 2017 weise keine relevante gesundheitliche Veränderung auf, sondern bewerte den unveränderten Sachverhalt unterschiedlich, was revisionsrechtlich unbeachtlich sei, kann ihm nicht beigepflichtet werden. Während im Gutachten des ZMB vom 18. Dezember 2003 noch ein die Leistungsfähigkeit beeinträchtigendes chronisches lumboradikuläres Syndrom L4 links bei nachgewiesener Diskushernie L4/5 und sensomotorischen Ausfällen diagnostiziert wurde, erachten die Dres. C.____ und D.____ im Rahmen der aktuellen Untersuchung ein radikuläres oder ein sensomotorisches Reizsyndrom L4/5 linksseitig aufgrund fehlender Muskelatrophien und negativer Wurzelzeichen als unwahrscheinlich. Zudem konnten sie objektiv keine sicheren Hinweise für qualitative oder quantitative Funktionseinschränkungen feststellen. Da für die Belange der Invalidenversicherung nicht die Diagnosen und deren Anzahl, sondern die Auswirkungen der gesundheitlichen Beeinträchtigungen auf die Arbeitsfähigkeit entscheidend sind (vgl. Urteil des Bundesgerichts vom 23. April 2019, 9C_184/2019, E. 2), kann bei dieser Sachlage entgegen der Auffassung des Beschwerdeführers nicht von gleichgebliebenen somatischen Verhältnissen ausgegangen werden. Selbst wenn sich, wie geltend gemacht wird, die somatischen Diagnosen nicht wesentlich verändert bzw. verbessert haben, kann daher nichts zu Gunsten des Beschwerdeführers abgeleitet werden. Denn auch identisch gebliebene Diagnosen schliessen eine revisionsrechtlich erhebliche Steigerung des tatsächlichen Leistungsvermögens nicht aus. Dies gilt namentlich dann, wenn der Schweregrad eines Leidens sich verringert hat oder es der versicherten Person gelungen ist, sich besser an das Leiden anzupassen (vgl. Urteil des Bundesgerichts vom 1. März 2010, 8C_761/2010, E. 2.2). Aktuell fanden die medizinischen Experten beim Versicherten weder Hinweise auf eine längerdauernde Schonung noch auf Muskelathrophien. Zudem stellten sie erhebliche Diskrepanzen zwischen den subjektiven Angaben und den objektiven Befunden fest, was gegen erhebliche körperliche Funktionsausfälle spricht. Zwar ist der Versicherte in der körperlich belastenden Tätigkeit als Bauarbeiter aufgrund lumbaler Diskopathien (weiterhin) vollständig arbeitsunfähig. Nach einlässlicher persönlicher Untersuchung kamen die Dres. C.____ und D.____ aber zum überzeugenden Schluss, dass dem Versicherten (spätestens) im Zeitpunkt der Begutachtung angepasste Tätigkeiten ganztags zumutbar seien. Eine Einschätzung der Arbeitsfähigkeit in Verweistätigkeiten enthält das Gutachten des ZMB vom 18. Dezember 2003 nicht, was einen validen Vergleich mit der früheren Begutachtung verunmöglicht. Daraus kann aber nicht geschlossen werden, in den aktuellen Expertisen seien die Auswirkungen eines gleichgebliebenen Gesundheitszustands auf die Leistungsfähigkeit neu beurteilt worden. Anzumerken ist in diesem Zusammenhang, dass der Zusprache einer Rente aufgrund eines Invaliditätsgrads von 100% ohne Prüfung der Arbeitsfähigkeit in einer Verweistätigkeit ein rechtlich falscher Invaliditätsbegriff zu Grunde lag, womit sie zweifellos unrichtig im Sinne von Art. 53 Abs. 2 ATSG war (vgl. auch Urteil des Bundesgerichts vom 15. Februar 2018, 8C_2/2018, E. 5.1 mit weiterem Hinweis). Konkrete Anhaltspunkte dafür, dass die aktuelle klinische Untersuchung mit Anamneseerhebung, Symptomerfassung und Verhaltensbeobachtung als wichtigste Grundlage gutachtlicher Feststellungen und Schlussfolgerungen nicht lege artis erfolgt wäre, sind nicht ersichtlich. Zudem liegen keine fachärztlichen Berichte vor, die Zweifel an der Zumutbarkeitsbeurteilung der Dres. C.____ und D.____ begründen könnten, oder die auf eine zwischenzeitliche Verschlechterung des Gesundheitszustands schliessen lassen. Vor diesem Hintergrund kann nicht gesagt werden, die Beurteilung des Gesundheitszustands und der Zumutbarkeit im aktuellen bidisziplinären Gutachten vom 15./16. August 2017 basiere auf einem unzutreffenden Sachverhalt. Bei dieser Sachlage und der Tatsache, dass es den beteiligten Fachärzten möglich war, eine zuverlässige Einschätzung des leistungsmässig Machbaren vorzunehmen, kann in antizipierter Beweiswürdigung (vgl. BGE 126 V 130 E. 2a mit zahlreichen Hinweisen) auf zusätzliche Abklärungen verzichtet und davon ausgegangen werden, dass sich der Gesundheitszustand des Versicherten seit der ursprünglichen Rentenzusprache im Juli 2004 verbesserte und ihm aus somatischer Sicht nunmehr angepasste Tätigkeiten vollschichtig zumutbar sind. Damit sind die Voraussetzungen für eine Revision nach Art. 17 ATSG erfüllt. 7.2.1 Hinsichtlich des psychischen Gesundheitszustands ist auf folgendes hinzuweisen: Nach der Rechtsprechung des Bundesgerichts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demgegenüber blosses verdeutlichendes Verhalten hin (vgl. BGE 141 V 281 E. 2.2.1 mit Hinweisen). 7.2.2 Aus dem einlässlich und nachvollziehbar begründeten Gutachten von Dr. E.____ vom 25. November 2019 und dessen ergänzender Stellungnahme vom 22. Mai 2020 ergibt sich, dass der Beschwerdeführer zwar psychische Beschwerden aufweist, durch täuschendes Verhalten aber eine valide psychiatrische Begutachtung verunmöglichte. So hielt der Gutachter fest, dass die Angaben des Versicherten vage, allgemein, wenig konkret, durch Nachfragen kaum präzisierbar und die Testung der Konzentration und der Merkfähigkeit unglaubwürdig seien. Zudem waren die Kriterien nach Slick et al. für das Vorliegen einer bewussten Vortäuschung kognitiver Störungen erfüllt. Aufgrund des Verhaltens des Versicherten konnte der Experte den Schweregrad der psychischen Beschwerden und deren Auswirkungen auf die Arbeitsfähigkeit nicht valide beurteilen. Verlässliche Hinweise darauf, dass das Verhalten des Versicherten im Rahmen der psychiatrischen Begutachtung auf eine verselbständigte, krankheitswertige psychische Störung zurückzuführen wäre, sind nicht ersichtlich. Im Gegenteil zeigen die Ausführungen des behandelnden Psychiaters Dr. F.____ im Bericht vom 28. Februar 2020, dass der Beschwerdeführer durchaus fähig ist, nachvollziehbare und adäquate Angaben zu machen und sich auf die Therapie einzulassen. Sein Verhalten anlässlich der psychiatrischen Exploration ist daher nicht nachvollziehbar. Sie ist vielmehr auf fehlende Kooperation und nicht etwa auf sein Unvermögen zurückzuführen. Gegen ein krankheitsbedingtes Verhalten spricht auch die Tatsache, dass Dr. F.____ in seiner Stellungnahme über nichts Derartiges berichtet. Was sein - wohl unter dem Eindruck der drohenden Rentenaufhebung - erfolgten Hinweis anbelangt, der Beschwerdeführer weise keine Aggravations- oder Simulationstendenz auf, ist der Erfahrungstatsache Rechnung zu tragen, wonach behandelnde Ärzte in Zweifelsfällen eher zu Gunsten ihrer Patientinnen und Patienten aussagen (BGE 135 V 465 E. 4.5), weshalb seine Einschätzung diejenige des Gutachters nicht in Zweifel zu ziehen vermag. Soweit sich der Beschwerdeführer auf die Angaben seiner Tochter beruft, wonach er auch im häuslichen Umfeld sehr schwerfällig, antriebslos und verlangsamt sei, ist ihm entgegenzuhalten, dass die Beobachtungen der Tochter als medizinische Laiin die fachärztliche Beurteilung von vornherein nicht in Frage zu stellen vermögen. Insgesamt ist aufgrund der einleuchtenden Beurteilung von Dr. E.____ mit grosser Klarheit von einer Aggravation oder sogar von Simulation auszugehen, wobei die Grenzen eines bloss verdeutlichenden Verhaltens klar überschritten sind. Bei dieser Ausgangslage erübrigt sich eine indikatorengeleitete Überprüfung des psychischen Leidens (vgl. Urteil des Bundesgerichts vom 31. August 2018, 8C_728/2017, E. 3.2.2,). Damit ist nicht beurteilbar, wie sich die diagnostizierten psychischen Erkrankungen auf die Arbeitsfähigkeit auswirken, und der Beweis einer invalidisierenden psychischen Gesundheitsschädigung ist vom Beschwerdeführer nicht erbracht. Bei dieser Sachlage durfte die IV-Stelle in antizipierter Beweiswürdigung (BGE 126 V 130 E. 2a mit zahlreichen Hinweisen) und ohne den Untersuchungsgrundsatz zu verletzen auf weitere Abklärungen verzichten.</w:t>
      </w:r>
    </w:p>
    <w:p>
      <w:r>
        <w:rPr>
          <w:b/>
        </w:rPr>
        <w:t>E. 8</w:t>
      </w:r>
    </w:p>
    <w:p>
      <w:r>
        <w:t>Nach dem Gesagten ist im Ergebnis nicht zu beanstanden, dass die IV-Stelle bei der Beurteilung des Gesundheitszustands und der Arbeitsfähigkeit des Beschwerdeführers gestützt auf die Gutachten der Dres. C.____ und D.____ vom 15./16. August 2017 und Dr. E.____ vom 25. November 2019 davon ausgegangen ist, dass der Versicherte spätestens im Zeitpunkt der Begutachtung durch die Dres. C.____ und D.____ in angepassten Tätigkeiten wiederum vollständig arbeitsfähig war und dadurch ein rentenausschliessendes Erwerbseinkommen erzielen könnte. Die konkrete Berechnung des Einkommensvergleichs ist nicht zu beanstanden, weshalb von weiteren Erörterungen dazu abgesehen und stattdessen auf die entsprechenden Ausführungen der IV-Stelle in der Verfügung vom 15. Juni 2020 verwiesen werden kann. Selbst ein maximaler Abzug vom Tabellenlohn von 25% ändert am Ergebnis nichts, da dennoch ein Invaliditätsgrad von unter 40% resultieren würde.</w:t>
      </w:r>
    </w:p>
    <w:p>
      <w:r>
        <w:rPr>
          <w:b/>
        </w:rPr>
        <w:t>E. 9</w:t>
      </w:r>
    </w:p>
    <w:p>
      <w:r>
        <w:t>Zusammenfassend ergibt sich, dass die Aufhebung der Invalidenrente per 31. Juli 2020 - nachdem die IV-Stelle wiederholt Massnahmen der (Wieder-)Eingliederung geprüft und Mahn- und Bedenkzeitverfahren durchgeführt hatte - gerechtfertigt und die angefochtene Verfügung im Ergebnis nicht zu beanstanden ist. Die dagegen erhobene Beschwerde ist unbegründet, weshalb sie abzuweisen ist.</w:t>
      </w:r>
    </w:p>
    <w:p>
      <w:r>
        <w:rPr>
          <w:b/>
        </w:rPr>
        <w:t>E. 10</w:t>
      </w:r>
    </w:p>
    <w:p>
      <w:r>
        <w:t>Es bleibt über die Kosten zu entscheiden.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Diese werden mit dem geleisteten Kostenvorschuss in der Höhe von Fr. 800.-- verrechnet. Bei die diesem Ausgang des Verfahrens wird keine Parteientschädigung ausgerichtet. Demgemäss wird erkannt: ://: 1. Die Beschwerde wird abgewiesen. 2. Die Verfahrenskosten in der Höhe von Fr. 800.-- werden dem Beschwerdeführer auferlegt und mit dem geleisteten Kostenvorschuss in der Höhe von Fr. 800.-- verrechnet.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