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20 196 / 248 vom 21. April 2020</w:t>
      </w:r>
    </w:p>
    <w:p>
      <w:r>
        <w:t>BL Gerichte, 2020-04-21, DE</w:t>
      </w:r>
    </w:p>
    <w:p>
      <w:r>
        <w:rPr>
          <w:b/>
        </w:rPr>
        <w:t xml:space="preserve">Quelle: </w:t>
      </w:r>
      <w:r>
        <w:t>https://mcp.opencaselaw.ch/entscheid/bl_gerichte_720_20_196___248</w:t>
      </w:r>
    </w:p>
    <w:p>
      <w:r>
        <w:t>FR: BL_GERICHTE 720 20 196 / 248 du 21 avril 2020</w:t>
      </w:r>
    </w:p>
    <w:p>
      <w:r>
        <w:t>IT: BL_GERICHTE 720 20 196 / 248 del 21 aprile 2020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Be-schwerdeführer auferlegt und mit dem im gleichen Umfang geleisteten Kostenvorschuss verrechnet.</w:t>
      </w:r>
    </w:p>
    <w:p>
      <w:r>
        <w:rPr>
          <w:b/>
        </w:rPr>
        <w:t>E. 3</w:t>
      </w:r>
    </w:p>
    <w:p>
      <w:r>
        <w:t>Es wird keine Parteientschädigung ausgerichtet. Gegen diesen Entscheid wurde am 12. Januar 2021 Beschwerde beim Bundesgericht erhoben (vgl. nach Vorliegen des Urteils des Bundesgerichts Verfahren 8C_35/2021).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