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2024 272 vom 19. Juni 2025</w:t>
      </w:r>
    </w:p>
    <w:p>
      <w:r>
        <w:t>BL Gerichte, 2025-06-19, DE</w:t>
      </w:r>
    </w:p>
    <w:p>
      <w:r>
        <w:rPr>
          <w:b/>
        </w:rPr>
        <w:t xml:space="preserve">Quelle: </w:t>
      </w:r>
      <w:r>
        <w:t>https://mcp.opencaselaw.ch/entscheid/bl_gerichte_720_2024_272</w:t>
      </w:r>
    </w:p>
    <w:p>
      <w:r>
        <w:t>FR: BL_GERICHTE 720 2024 272 du 19 juin 2025</w:t>
      </w:r>
    </w:p>
    <w:p>
      <w:r>
        <w:t>IT: BL_GERICHTE 720 2024 272 del 19 giugno 2025</w:t>
      </w:r>
    </w:p>
    <w:p>
      <w:pPr>
        <w:pStyle w:val="Heading2"/>
      </w:pPr>
      <w:r>
        <w:t>Regeste</w:t>
      </w:r>
    </w:p>
    <w:p>
      <w:r>
        <w:t>Würdigung des medizinischen Sachverhalts</w:t>
      </w:r>
    </w:p>
    <w:p>
      <w:pPr>
        <w:pStyle w:val="Heading2"/>
      </w:pPr>
      <w:r>
        <w:t>Erwägungen</w:t>
      </w:r>
    </w:p>
    <w:p>
      <w:r>
        <w:rPr>
          <w:b/>
        </w:rPr>
        <w:t>E. 2</w:t>
      </w:r>
    </w:p>
    <w:p>
      <w:r>
        <w:t>Streitig und im Folgenden zu prüfen ist, ob die IV-Stelle die zugesprochene Rente zu Recht bis 31. Oktober 2022 befristet hat.</w:t>
      </w:r>
    </w:p>
    <w:p>
      <w:r>
        <w:rPr>
          <w:b/>
        </w:rPr>
        <w:t>E. 2.1</w:t>
      </w:r>
    </w:p>
    <w:p>
      <w:r>
        <w:t>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(Art. 6 des Bundesgesetzes über den Allgemeinen Teil des Sozialversicherungsrechts [ATSG] vom 6. Oktober 2000) gewesen sind; und c. nach Ablauf dieses Jahres zu mindestens 40 % invalid (Art. 8 ATSG) sind.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w:t>
      </w:r>
    </w:p>
    <w:p>
      <w:r>
        <w:rPr>
          <w:b/>
        </w:rPr>
        <w:t>E. 2.2</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128 V 30 E. 1, 104 V 136 E. 2a und b mit Hinweisen). Die IV-Stelle hat den Invaliditätsgrad des Versicherten nach der allgemeinen Methode des Einkommensvergleichs bemessen, was vom Beschwerdeführer – zu Recht – nicht bestritten wird.</w:t>
      </w:r>
    </w:p>
    <w:p>
      <w:r>
        <w:rPr>
          <w:b/>
        </w:rPr>
        <w:t>E. 3</w:t>
      </w:r>
    </w:p>
    <w:p>
      <w:r>
        <w:t>Vorliegend ist die ärztliche Einschätzung des Gesundheitszustandes bzw. die festgestellte Arbeitsunfähigkeit, wonach der Beschwerdeführer seit dem Jahr 2011 in der bisherigen Tätigkeit zu 60 % arbeitsfähig und in einer leidensangepassten Tätigkeit zu 80 % arbeitsfähig ist, grundsätzlich nicht strittig. Umstritten ist jedoch im Wesentlichen, von welcher Tätigkeit der Gutachter als angestammter Tätigkeit ausgegangen ist. 4.1 Ausgangspunkt der Ermittlung des Invaliditätsgrades bildet die Frage, ob und gegebenenfalls in welchem Ausmass die versicherte Person aufgrund ihrer gesundheitlichen Beeinträchtigungen arbeitsunfähig ist. 4.2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4.4.1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Urteil des Bundesgerichts vom 6. März 2019, 9C_609/2018, E. 3.2.2). 4.4.2 Zur Frage der beweisrechtlichen Verwertbarkeit der Berichte und Gutachten versicherungsinterner Fachpersonen – so auch der Berichte von RAD-Ärztinnen und Ärzte – wird der Grundsatz betont, wonach ein Anstellungsverhältnis dieser Person zum Versicherungsträger alleine nicht schon auf mangelnde Objektivität und Befangenheit schliessen lässt (BGE 125 V 351 E. 3b/ee). Diesen Berichten kommt allerdings nicht derselbe Beweiswert wie einem im Verfahren nach Art. 44 ATSG (in der bis 31. Dezember 2021 gültigen Fassung) eingeholten Gutachten externer Fachpersonen oder gar wie einem Gerichtsgutachten zu, sie sind aber soweit zu berücksichtigen, als auch nicht geringe Zweifel an der Richtigkeit ihrer Schlussfolgerungen bestehen (BGE 139 V 225 E. 5.2; 135 V 465 E. 4.7, Urteil des Bundesgerichts vom 16. September 2014, 8C 385/2014, E. 4.2.2). 4.4.3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(vgl. BGE 124 I 170 E. 4; Urteil des EVG vom 13. Juni 2001, I 506/00, E. 2b) lässt nicht zu, ein Administrativoder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w:t>
      </w:r>
    </w:p>
    <w:p>
      <w:r>
        <w:rPr>
          <w:b/>
        </w:rPr>
        <w:t>E. 6</w:t>
      </w:r>
    </w:p>
    <w:p>
      <w:r>
        <w:t>Zur Beurteilung der vorliegenden Streitigkeit liegen im Wesentlichen folgende medizinischen Unterlagen vor: 6.1 Das C. -Spital stellt mit Bericht vom 2. Dezember 2021 folgende Diagnosen: 1. Persistierendes Tarsaltunnel-Syndrom posttraumatisch nach multiplen Voroperationen: - initial Versorgung einer OSG-Luxationsfraktur 05/2017 in X. - St. n. ossärer Refixation HKB rechts und posterolaterales Tibiaölateau 11/2020 2. Persistierende Neuropathie des Nervus peronaeus superficialis mit Allodynie am Fussrist 6.2 Mit Bericht vom 13. Dezember 2022 hält Dr. med. D. , Fachärztin für Physikalische Rehabilitative Medizin, Regionaler Ärztlicher Dienst (RAD), fest, seit dem Gerichtsentscheid vom 13. August 2020 bzw. der letzten RAD-Stellungnahme vom 28. Februar 2020 hätten weitere schmerztherapeutische Behandlungen betreffend Unfallfolgen am linken OSG stattgefunden (Neuraltherapeutische Infiltrationen, Neurolyse des N. peroneus sup. links am 01. Oktober 2020, Nervenblockaden, zuletzt Implantation eines peripheren Neurostimulators am N. tibialis links im 04/2022), so dass ab dem 1. Oktober 2020 bis dato seitens des C. -Spitals eine 100%ige Arbeitsunfähigkeit attestiert werde, zum einen wegen der genannten schmerztherapeutischen Massnahmen (abgeschlossen am 7. Juli 2022), zum anderen aber auch wegen eines interkurrent erlittenen Knieunfalls rechts vom 6. Oktober 2020, der zu einem knöchernen Ausriss des HKB rechts geführt habe, welcher am 24. November 2020 habe operiert werden müssen und zu einer langwierigen rehabilitativen Nachbehandlung bei Quadricepshypothropie geführt habe. Die Kniebehandlung habe mit der Jahreskontrolle vom 6. Oktober 2021 bei gutem funktionellen Knieergebnis rechts abgeschlossen werden können, seither werde die fortgesetzte Arbeitsunfähigkeit mit der persistierenden Beschwerdesymptomatik am linken Fuss begründet, aber auf die angestammte Tätigkeit als E. bezogen und nicht auf eine medizinischtheoretische Verweistätigkeit. Bezüglich der Zumutbarkeit am linken Fuss habe sich das Verweisprofil seit dem obgenannten Gerichtsentscheid nicht geändert, daran habe auch die zwischenzeitlich durchgeführte Schmerztherapie nichts ändern können. Allerdings sei aufgrund der noch verbliebenen subjektiven Beschwerdesituation trotz Neurostimulation eine Leistungsminderung von 20 % anzurechnen, dies für einen erhöhten Pausenbedarf. Somit sei nach dem Behandlungsabschluss durch die Schmerzmedizin am 7. Juli 2022 zusammengefasst von einer Rest-Arbeitsfähigkeit in einer Verweistätigkeit von 80 % auszugehen. 6.3 Im Bericht des E. -Spitals vom 10. Juli 2023 werden folgende Diagnosen festgehalten: - Diabetisches Fusssyndrom mit/bei - St. n. transmetatarsaler Amputation Dig. I und II links, offen, am 1. Juni 2023, bei - damals infizientem Malum perforans über dem Metatarsale I mit anschliessender VAC-Verbandversorgung - St. n. Vorfussamputation transmetatarsal am 14. Juni 2023 - Kardiovaskuläre Risikofaktoren: -  Diabetes mellitus Typ 2, ED 04/2020, Dyslipidämie, Adipositas, koronare Kardiopathie, arterielle Hypertonie und chronischer Nikotinabusus Nebendiagnosen: - Persistierendes Tarsaltunnelsyndrom links, posttraumatisch, nach multiplen Voropera- - tionen - Persistierende Neuropathie des N. peroneus superficialis links mit Allodynie am Fuss- - rist - COPD bei chronischem Nikotinabusus Es zeige sich nun ein sehr schöner Verlauf. Man habe A. die Bewegung freigegeben und er dürfe wieder ganz normal laufen.</w:t>
      </w:r>
    </w:p>
    <w:p>
      <w:r>
        <w:rPr>
          <w:b/>
        </w:rPr>
        <w:t>E. 6.4</w:t>
      </w:r>
    </w:p>
    <w:p>
      <w:r>
        <w:t>Die RAD-Ärztin Dr. D. führt in ihrer Stellungnahme vom 19. Oktober 2023 aus, aufgrund der stattgehabten Zehenamputation Dig. I und II links bei diabetisch bedingtem und mit Fäkalkeimen infiziertem Hautgeschwür (sog. Malum perforans) sei die vorbestehende 80%ige Rest-Arbeitsfähigkeit in einer Verweistätigkeit vorübergehend unterbrochen worden, dies bis zur reizlosen Abheilung nach Zehen-Operation und erfolgter passender Fussbettung. Der Versicherte dürfe ab dem 10. Juli 2023 wieder normal laufen, so dass ab diesem Datum die vorbestehende Rest-Arbeitsfähigkeit wieder gelte. Auch qualitativ sei durch die interkurrent aufgetretene Vorfussdiagnose links das Verweisprofil angepasst, neu gelte nicht mehr eine wechselbelastende, sondern eine hauptsächlich sitzende Tätigkeit, wobei kurze Gehstrecken in der Ebene sowie selbstgewählte Positionswechsel erlaubt seien. Hierauf könne nun abgestellt werden.</w:t>
      </w:r>
    </w:p>
    <w:p>
      <w:r>
        <w:rPr>
          <w:b/>
        </w:rPr>
        <w:t>E. 6.5</w:t>
      </w:r>
    </w:p>
    <w:p>
      <w:r>
        <w:t>Mit ambulantem Bericht zu Handen der Suva hält das F. -Spital am 8. November 2023 fest, eine elektroneurographische Untersuchung sei nicht durchgeführt worden. Der Patient habe berichtet, dass eine letzte Untersuchung wegen Schmerzen habe abgebrochen werden müssen. Er habe deshalb gebeten, die Untersuchung nur bei klarer Indikation durchzuführen. Eine solche habe jedoch nicht nachvollzogen werden können. In der Neurosonografie hätten der Nervus plantaris und der Nervus plantaris medialis (aus Nervus tibialis) linksseitig dargestellt werden können. Es seien Vernarbungen im Bereich dieser Nerven zu sehen, welche durchaus eine schmerzhafte Neuropathie erklären könnten, ein Neurom sei nicht abzugrenzen. Bei langjährigem Verlauf, welcher viele Konsultationen und Behandlungen bei verschiedenen Spezialisten/Fachärzten einschliessen würde, scheine eine abschliessende neurologische Beurteilung des Schmerzgeschehens nur im Rahmen eines neurologischen Gutachtens möglich zu sein. Im Rahmen einer einfachen neurologischen Konsultation sei dies nicht möglich.</w:t>
      </w:r>
    </w:p>
    <w:p>
      <w:r>
        <w:rPr>
          <w:b/>
        </w:rPr>
        <w:t>E. 6.6</w:t>
      </w:r>
    </w:p>
    <w:p>
      <w:r>
        <w:t>Am 4. April 2024 hält die G. zu Handen der Suva fest, der Versicherte leide unter persistierenden Schmerzen, Berührungs- und Druckallodynie am linken Fuss, subjektiv mit einer deutlichen Betonung medial und lateral, bei St. n. OSG Luxationsfraktur am 15. Mai 2017 und St. n. mehreren nachfolgenden Operationen. Die Befunde der klinischen neurologischen Untersuchung würden in erster Linie für eine deutliche Polyneuropathie der unteren Extremitäten vom distalen symmetrischen Typ sprechen. Des Weiteren würden sich zirkulär verteilte Sensibilitätsstörungen am linken Bein in einer strumpfförmigen Verteilung zeigen, ab Mitte des linken Unterschenkels nach distal zunehmend und insbesondere am linken Fuss zirkulär verteilt mit im Vordergrund stehenden Berührungsallodynie und Hyperalgesie mit Auslösen von elektrisierenden Schmerzen bei der Stimulation nach Angaben des Patienten. Die Befunde der Elektroneurographie vom 4. April 2024 würden für eine schwere axonale sensomotorische Polyneuropathie im Bereich der rechten unteren Extremität sprechen. Eine Elektroneurographie der linken unteren Extremität sei aktuell technisch nicht möglich, da der Patient bereits auf geringe Stromreize bei der Untersuchung der rechten unteren Extremität extrem empfindlich reagiere. Zur weiteren Beurteilung wäre eine MRT-Untersuchung beider Unterschenkel und beider Füsse mit der Frage nach Knochen-, Muskel- und Hauttrophik sowie mit der Frage nach MR-Neurographie der relevanten Nerven der unteren Extremitäten im Seitenvergleich zu empfehlen.</w:t>
      </w:r>
    </w:p>
    <w:p>
      <w:r>
        <w:rPr>
          <w:b/>
        </w:rPr>
        <w:t>E. 6.7</w:t>
      </w:r>
    </w:p>
    <w:p>
      <w:r>
        <w:t>Nach Durchführung bildgebender Untersuchungen bat die Suva mit Schreiben vom 24. Juli 2024 die G. , beim Versicherten eine Abschlussuntersuchung durchzuführen.</w:t>
      </w:r>
    </w:p>
    <w:p>
      <w:r>
        <w:rPr>
          <w:b/>
        </w:rPr>
        <w:t>E. 7</w:t>
      </w:r>
    </w:p>
    <w:p>
      <w:r>
        <w:t>Aus den vorliegenden Arztberichten ergibt sich, dass der Beschwerdeführer nun wieder gehen kann. Probleme bereiten ihm die Schmerzen. Des Weiteren ist den Berichten der G. , welche bis zum Verfügungserlass ergangen sind, zu entnehmen, dass eine abschliessende Beurteilung noch nicht möglich ist. Im unfallversicherungsrechtlichen Verfahren hat der Suva-Kreis-arzt weitere neurologische Untersuchungen empfohlen und diese wurden denn auch in Auftrag gegeben und durchgeführt. Am 24. Juli 2024 – also kurz vor Erlass der angefochtenen Verfügung vom 5. August 2024 – hat die Suva bei der G. eine Abschlussuntersuchung veranlasst. Von dieser Untersuchung sind Beurteilungen auch für das vorliegende Verfahren zu erwarten, welche im Zeitpunkt des Verfügungserlasses jedoch noch nicht vorlagen. Der vorliegende medizinische Sachverhalt erweist sich folglich im Zeitpunkt der angefochtenen Verfügung als noch nicht rechtsgenüglich abgeklärt. In diesem Zusammenhang ist nicht nachvollziehbar, weshalb die IV-Stelle letztmals im Dezember 2022 Akten der Suva beigezogen hat, was zur Folge hatte, dass die der angefochtenen Verfügung zugrunde liegenden Beurteilungen des RAD im Verfügungszeitpunkt überholt waren. Gestützt auf diese Ausführungen ergibt sich, dass die vorliegende Beschwerde gutzuheissen, die angefochtene Verfügung aufzuheben und die Angelegenheit zur weiteren Abklärung an die Vorinstanz zurückzuweisen. 8.1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61 f. E. 2.1 und 2.2, BGE 132 V 235 E. 6.2, je mit Hinweisen). 8.2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Vorliegend ist die IV-Stelle unterliegende Partei. Die ordentlichen Kosten von Fr. 800.-- werden somit der IV-Stelle auferlegt. 8.3 Laut Art. 61 lit. g ATSG hat die obsiegende Beschwerde führende Person Anspruch auf Ersatz der Parteikosten. Da der Versicherte obsiegende Partei ist, ist ihm eine Parteientschädigung zu Lasten der IV-Stelle zuzusprechen. Der Rechtsvertreter des Versicherten hat in seiner Honorarnote vom 19. Dezember 2024 für das vorliegende Verfahren einen Zeitaufwand von insgesamt 7,7 Stunden geltend gemacht, welcher sich in Anbetracht der sich stellenden Sachverhalts- und Rechtsfragen als angemessen erweist. Dieser Aufwand ist zum in Sozialversicherungsprozessen für durchschnittliche Fälle zur Anwendung gelangenden Stundenansatz von Fr. 250.-- zu entschädigen. Nicht zu beanstanden sind ferner die in der Honorarnote ausgewiesenen Auslagen im Umfang von insgesamt Fr. 92.90. Dem Beschwerdeführer ist deshalb eine Parteientschädigung in der Höhe von Fr. 2'181.35 (7,7 Stunden à Fr. 250.-- + Auslagen von Fr. 92.90 zuzüglich 8,1 % Mehrwertsteuer) zu Lasten der IV-Stelle zuzusprechen.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9.3 Zu ergänzen bleibt, dass nach bundesgerichtlicher Praxis die in einem Rückweisungsentscheid getroffene (Kosten- und) Entschädigungsregelung – wie die Rückweisung im Hauptpunkt selbst – einen Zwischenentscheid (Art. 93 Abs. 1 BGG) darstellt, der in der Regel keinen nicht wiedergutzumachenden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645 E. 2.2, bestätigt im Urteil des Bundesgerichts vom 30. Oktober 2008, 9C_567/2008, E. 2 - 4; vgl. auch Urteil des Bundesgerichts vom 7. November 2014, 8C_692/2014, E. 2). Demgemäss wird e r k a n n t : ://: 1. Die Beschwerde wird in dem Sinne gutgeheissen, als die Verfügung der IV-Stelle Basel-Landschaft vom 5. August 2024 aufgehoben, die Angelegenheit zur weiteren Abklärung im Sinne der Erwägungen und zum Erlass einer neuen Verfügung an die IV-Stelle Basel-Landschaft zurückgewiesen wird. 2. Die Verfahrenskosten in der Höhe von Fr. 800.-- werden der IV-Stelle Basel-Landschaft auferlegt. 3. Die IV-Stelle hat dem Beschwerdeführer eine Parteientschädigung in der Höhe von Fr. 2'181.35 (inklusive Auslagen und 8,1 %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