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19 81 / 174 vom 4. Februar 2019</w:t>
      </w:r>
    </w:p>
    <w:p>
      <w:r>
        <w:t>BL Gerichte, 2019-02-04, DE</w:t>
      </w:r>
    </w:p>
    <w:p>
      <w:r>
        <w:rPr>
          <w:b/>
        </w:rPr>
        <w:t xml:space="preserve">Quelle: </w:t>
      </w:r>
      <w:r>
        <w:t>https://mcp.opencaselaw.ch/entscheid/bl_gerichte_720_19_81___174</w:t>
      </w:r>
    </w:p>
    <w:p>
      <w:r>
        <w:t>FR: BL_GERICHTE 720 19 81 / 174 du 4 février 2019</w:t>
      </w:r>
    </w:p>
    <w:p>
      <w:r>
        <w:t>IT: BL_GERICHTE 720 19 81 / 174 del 4 febbraio 2019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im Übrigen frist- und formgerecht erhobene Beschwerde ist einzutreten.</w:t>
      </w:r>
    </w:p>
    <w:p>
      <w:r>
        <w:rPr>
          <w:b/>
        </w:rPr>
        <w:t>E. 2</w:t>
      </w:r>
    </w:p>
    <w:p>
      <w:r>
        <w:t>Die Verfahrenskosten in der Höhe von Fr. 800.-- werden der Beschwerdeführerin auferlegt und mit dem geleisteten Kostenvorschuss in der Höhe von Fr. 800.-- verrechnet.</w:t>
      </w:r>
    </w:p>
    <w:p>
      <w:r>
        <w:rPr>
          <w:b/>
        </w:rPr>
        <w:t>E. 3</w:t>
      </w:r>
    </w:p>
    <w:p>
      <w:r>
        <w:t>Eine Parteientschädigung wird nicht ausgerichtet. Gegen diesen Entscheid hat A.____ am 4. November 2019 Beschwerde beim Bundesgericht erhoben (siehe nach Vorliegen des Urteils: Verfahren-Nr. 8C_748/2019)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