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19 187 / 51 vom 18. Juli 2018</w:t>
      </w:r>
    </w:p>
    <w:p>
      <w:r>
        <w:t>BL Gerichte, 2018-07-18, DE</w:t>
      </w:r>
    </w:p>
    <w:p>
      <w:r>
        <w:rPr>
          <w:b/>
        </w:rPr>
        <w:t xml:space="preserve">Quelle: </w:t>
      </w:r>
      <w:r>
        <w:t>https://mcp.opencaselaw.ch/entscheid/bl_gerichte_720_19_187___51</w:t>
      </w:r>
    </w:p>
    <w:p>
      <w:r>
        <w:t>FR: BL_GERICHTE 720 19 187 / 51 du 18 juillet 2018</w:t>
      </w:r>
    </w:p>
    <w:p>
      <w:r>
        <w:t>IT: BL_GERICHTE 720 19 187 / 51 del 18 luglio 2018</w:t>
      </w:r>
    </w:p>
    <w:p>
      <w:pPr>
        <w:pStyle w:val="Heading2"/>
      </w:pPr>
      <w:r>
        <w:t>Regeste</w:t>
      </w:r>
    </w:p>
    <w:p>
      <w:r>
        <w:t>Rechtsverweigerung/Rechtsverzögerung</w:t>
      </w:r>
    </w:p>
    <w:p>
      <w:pPr>
        <w:pStyle w:val="Heading2"/>
      </w:pPr>
      <w:r>
        <w:t>Erwägungen</w:t>
      </w:r>
    </w:p>
    <w:p>
      <w:r>
        <w:rPr>
          <w:b/>
        </w:rPr>
        <w:t>E. 1</w:t>
      </w:r>
    </w:p>
    <w:p>
      <w:r>
        <w:t>Wegen Rechtsverweigerung bzw. -verzögerung (Art. 56 Abs. 2 des Bundesgesetzes über den Allgemeinen Teil des Sozialversicherungsrechts [ATSG] vom 6. Oktober 2000) kann grundsätzlich jederzeit Beschwerde erhoben werden. Örtlich zuständig ist gemäss Art. 58 Abs. 1 ATSG das Versicherungsgericht desjenigen Kantons, in dem die versicherte Person oder der Beschwerde führende Dritte zur Zeit der Beschwerdeerhebung Wohnsitz hat. Der Beschwerdeführer hat Wohnsitz in X.____, weshalb das Kantonsgericht für die Beurteilung der vorliegenden Beschwerde örtlich zuständig ist. Das Kantonsgericht, Abteilung Sozialversicherungsrecht, ist als kantonales Versicherungsgericht auch sachlich zuständig (Art. 57 ATSG; § 54 des Gesetzes über die Verfassungs- und Verwaltungsprozessordnung [VPO] vom 16. Dezember 1993). Auf die Beschwerde vom 31. Mai 2019 ist demnach einzutreten.</w:t>
      </w:r>
    </w:p>
    <w:p>
      <w:r>
        <w:rPr>
          <w:b/>
        </w:rPr>
        <w:t>E. 2</w:t>
      </w:r>
    </w:p>
    <w:p>
      <w:r>
        <w:t>Gemäss Art. 29 Abs. 1 BV hat jede Person in Verfahren vor Gerichts- und Verwaltungsinstanzen Anspruch auf gleiche und gerechte Behandlung sowie auf Beurteilung innert angemessener Frist. Eine Verletzung von Art. 29 Abs. 1 BV liegt nach der Rechtsprechung unter anderem dann vor, wenn eine Gerichts- oder Verwaltungsbehörde ein Gesuch, dessen Erledigung in ihre Kompetenz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Rechtsverzögerung). Für die Rechtsuchenden ist es unerheblich, auf welche Gründe - beispielsweise auf ein Fehlverhalten der Behörden oder auf andere Umstände - die Rechtsverweigerung oder Rechtsverzögerung zurückzuführen ist (SVR 2003 IV Nr. 14 E. 3.2); entscheidend ist ausschliesslich, dass die Behörde nicht oder nicht fristgerecht handelt (BGE 108 V 20 E. 4c, 103 V 195 E. 3c). Bei der Feststellung einer unrechtmässigen Rechtsverzögerung geht es deshalb um die Würdigung objektiver Gegebenheiten. Eine solche liegt dann vor, wenn die Umstände, welche zur unangemessenen Verlängerung des Verfahrens führen, objektiv nicht gerechtfertigt sind (BGE 103 V 195 E. 3c in fine; Urteil des Eidgenössischen Versicherungsgerichts [EVG; heute: Bundesgericht, sozialrechtliche Abteilungen] vom 24. Oktober 2002, I 57/02, E. 3.2). Ob sich die gegebene Verfahrensdauer mit dem dargelegten Anspruch von versicherten Personen auf Rechtsschutz innert angemessener Frist verträgt, ist im konkreten Einzelfall zu prüfen (BGE 119 Ib 325 E. 5b, 107 Ib 165, 103 V 195 E. 3c in fine). Massgeblich sind namentlich die Art des Verfahrens, die Schwierigkeit der Materie und das Verhalten der Beteiligten (Urteil des EVG vom 24. Oktober 2002, I 57/02, E. 3.2).</w:t>
      </w:r>
    </w:p>
    <w:p>
      <w:r>
        <w:rPr>
          <w:b/>
        </w:rPr>
        <w:t>E. 3</w:t>
      </w:r>
    </w:p>
    <w:p>
      <w:r>
        <w:t>Die IV-Stelle Basel-Landschaft hat der Beschwerdeführerin eine Parteientschädigung in der Höhe von Fr. 2'230.--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