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19 184/138 vom 5. Februar 2016</w:t>
      </w:r>
    </w:p>
    <w:p>
      <w:r>
        <w:t>BL Gerichte, 2016-02-05, DE</w:t>
      </w:r>
    </w:p>
    <w:p>
      <w:r>
        <w:rPr>
          <w:b/>
        </w:rPr>
        <w:t xml:space="preserve">Quelle: </w:t>
      </w:r>
      <w:r>
        <w:t>https://mcp.opencaselaw.ch/entscheid/bl_gerichte_720_19_184_138</w:t>
      </w:r>
    </w:p>
    <w:p>
      <w:r>
        <w:t>FR: BL_GERICHTE 720 19 184/138 du 5 février 2016</w:t>
      </w:r>
    </w:p>
    <w:p>
      <w:r>
        <w:t>IT: BL_GERICHTE 720 19 184/138 del 5 febbraio 2016</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der Versicherten vom 29. Mai 2019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Um festzustellen, ob und in welchem Umfang die ärztlichen Feststellungen auf Arbeitsunfähigkeit schliessen lassen, sind sämtliche psychischen Erkrankungen einem strukturierten Beweisverfahren nach BGE 141 V 281 zu unterziehen. 2.4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w:t>
      </w:r>
    </w:p>
    <w:p>
      <w:r>
        <w:rPr>
          <w:b/>
        </w:rPr>
        <w:t>E. 3</w:t>
      </w:r>
    </w:p>
    <w:p>
      <w:r>
        <w:t>Ausgangspunkt der Ermittlung des IV-Grades bildet die Frage, in welchem Ausmass die versicherte Person aufgrund ihrer gesundheitlichen Beeinträchtigungen arbeitsunfähig ist.</w:t>
      </w:r>
    </w:p>
    <w:p>
      <w:r>
        <w:rPr>
          <w:b/>
        </w:rPr>
        <w:t>E. 3.1</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w:t>
      </w:r>
    </w:p>
    <w:p>
      <w:r>
        <w:rPr>
          <w:b/>
        </w:rPr>
        <w:t>E. 3.2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w:t>
      </w:r>
    </w:p>
    <w:p>
      <w:r>
        <w:rPr>
          <w:b/>
        </w:rPr>
        <w:t>E. 3.3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weicht das Gericht bei Gerichtsgutachten nicht ohne zwingende Gründe von der Einschätzung der medizinischen Experten ab, deren Aufgabe es ist, ihre Fachkenntnisse der Gerichtsbarkeit zur Verfügung zu stellen, um einen bestimmten Sachverhalt medizinisch zu erfassen. Den im Rahmen des Gerichtsverfahrens eingeholten Gutachten ist somit volle Beweiskraft zuzuerkennen, solange nicht konkrete Indizien gegen die Zuverlässigkeit der Expertise sprechen (BGE 125 V 351 E. 3b/bb mit weiteren Hinweisen; Urteil des Bundesgerichts vom 20. März 2018, 8C_569/2017, E. 2.2).</w:t>
      </w:r>
    </w:p>
    <w:p>
      <w:r>
        <w:rPr>
          <w:b/>
        </w:rPr>
        <w:t>E. 4</w:t>
      </w:r>
    </w:p>
    <w:p>
      <w:r>
        <w:t>Im rheumatologischen Teilgutachten vom 18. Januar 2019 diagnostizierte Dr. C.____ mit Auswirkung auf die Arbeitsfähigkeit eine Retropatellararthrose rechts sowie eine radiomorphologisch kleine mediale bis linkslaterale Diskusprotrusion C5/6 und eine grössere mediolaterale rechtsseitige Diskusprotrusion bis -hernie C6/7 (MRT HWS vom 6. August 2014). Ohne Einfluss auf die Arbeitsfähigkeit nannte er einen Status nach einer transossären Sehnenrefixation nach Fingerkuppenamputation, eine Perathropathia humeroscapularis links, eine Hypersensibilität im Bereich des rechten Fussrückens bei normaler Peroneus-Neurographie, Migräne, eine Dysplasie des horizontalen Bogenganges beidseits sowie einen Status nach Arthroskopie des linken Knies. In Bezug auf die Arbeitsfähigkeit kam Dr. C.____ zum Schluss, dass der Versicherte keine körperlichen Schwerarbeiten mehr ausführen könne, insbesondere seien Tätigkeiten mit dauernd inklinierter oder reklinierter HWS nicht zumutbar. Für eine körperlich leichte bis mittelschwere Tätigkeit bestehe dagegen eine volle Arbeitsfähigkeit, sofern dauerndes Knien und Bücken vermieden würden. Derzeit bestehe aufgrund der rechten Hand noch eine vorübergehende Arbeitsunfähigkeit, welche, einen guten Verlauf vorausgesetzt, voraussichtlich Ende Januar 2019 enden werde. Anlässlich der Urteilsberatung vom 19. März 2020 stellte das Gericht fest, dass das Gutachten von Dr. C.____ umfassend und schlüssig sei. Die Anforderungen an den Beweiswert eines Gutachtens seien vollumfänglich erfüllt, weshalb es eine zuverlässige und rechtsgenügliche Grundlage bilde, um den rheumatologischen Gesundheitszustand und die Arbeitsfähigkeit des Versicherten beurteilen zu können. Die vom Beschwerdeführer dagegen vorgebrachte Kritik vermochte daran nichts zu ändern (vgl. ausführliche Auseinandersetzung mit den Einwänden im Beschluss vom 19. März 2020). Auf das Teilgutachten von Dr. C.____ vom 18. Januar 2019 kann somit abgestellt werden. Aus somatischer Sicht ist dem Versicherten eine leichte bis mittelschwere adaptierte Tätigkeit zu 100% zumutbar.</w:t>
      </w:r>
    </w:p>
    <w:p>
      <w:r>
        <w:rPr>
          <w:b/>
        </w:rPr>
        <w:t>E. 5</w:t>
      </w:r>
    </w:p>
    <w:p>
      <w:r>
        <w:t>Zu den psychischen Einschränkungen liegt nun das Gutachten von PD Dr. H.____ vom 25. September 2020 vor. Er diagnostizierte mit Auswirkungen auf die Arbeitsfähigkeit eine kombinierte Persönlichkeitsstörung mit emotional instabilen und narzisstischen Anteilen (ICD-10 F61.0) sowie eine rezidivierende depressive Störung, gegenwärtig leichte depressive Episode (ICD-10 F33.0). Ohne Auswirkungen auf die Arbeitsfähigkeit seien Störungen durch Cannabi-noide (ICD-10 F12.1). Dem Beschwerdeführer sei es nie möglich gewesen, stabile, unterstützende Elternbilder zu internalisieren, die die Entwicklung eines stabilen Narzissmus erlaubt hätten. Die pathologischen Beziehungserfahrungen mit den Eltern habe durch die konflikthafte Bruderbeziehung nicht korrigiert werden können, so dass der Beschwerdeführer eine regelrechte Bindungsstörung entwickelt habe. In der Schulzeit sei er regelmässig diskriminiert worden, was eine Integration verhindert und die frühe narzisstische Schwäche zusätzlich fixiert habe. Auch während der Berufsbildung habe sich der Beschwerdeführer wenig willkommen gefühlt, was sich in der Berufsbiographie fortgesetzt habe. So habe er abgesehen von einer einmaligen Arbeitsdauer von dreieinhalb Jahren ausschliesslich an temporären Arbeitsstellen gearbeitet. Er habe sich an keiner Stelle in ein Team integrieren können. Regelmässig seien Konflikte aufgetaucht, welche zu einem schnellen Jobwechsel geführt hätten. Im Langzeitverlauf habe der Beschwerdeführer eine erhebliche Einbusse seiner innerpsychischen Resilienz erfahren. Es sei keineswegs unüblich, dass Menschen mit Persönlichkeitsstörungen in der Lage seien, eine teilweise langjährige Berufsanamnese zu bewältigen, bevor sich die innerpsychische Resilienz zunehmend und schliesslich vollständig erschöpfe. Beim Versicherten seien die zahlreichen Stellenwechsel nichts anderes als ein «Hilfsmittel» gewesen, um sich immer wieder den für ihn kaum aushaltbaren Interaktionen mit Vorgesetzten und Mitarbeitern zu entziehen. In diesem Zusammenhang erweise sich der Cannabiskonsum des Beschwerdeführers klar als Sekundärphänomen, um diese Schwierigkeiten im Sinne einer inadäquaten Selbstmedikation zu dämpfen und besser auszuhalten. Im Weiteren sei auch die private Beziehungsanamnese pathologisch. Beide Beziehungen zu den Müttern seiner beiden Söhne seien instabil verlaufen. Ferner falle auf, dass der Versicherte zeitlebens nie einen regelrechten sozialen Bekanntenkreis habe etablieren können. Auch die Kontakte zu seinen Eltern und zu seinem Bruder seien höchst selten und zu seinen Söhnen habe er seit vielen Jahren gar keinen Kontakt mehr. Aufgrund dieser Beurteilungsdimensionen könne festgehalten werden, dass der Beschwerdeführer die Kardinaldefinition für eine Persönlichkeitsstörung ohne Zweifel erfülle, indem ab verhältnismässig frühem Lebensalter zentrale Bereiche der privaten, sozialen und beruflichen Anamnese nachhaltig und relevant tangiert seien. Sämtliche Diagnosekriterien für eine emotional instabile Persönlichkeitsstörung vom impulsiven Typ seien erfüllt. Die diagnostischen Kriterien für eine narzisstische Persönlichkeitsstörung seien nur teilweise erfüllt. Zusammenfassend könne aber festgestellt werden, dass beim Beschwerdeführer eine kombinierte Persönlichkeitsstörung mit emotional instabilen und narzisstischen Anteilen vorliege. Im Weiteren lasse sich aufgrund des objektiven Psychostatus eine leichte depressive Episode diagnostizieren, wobei der Schweregrad der Psychodiagnostik wie auch die Auswirkung auf die Arbeitsfähigkeit der zugrundeliegenden Persönlichkeitspathologie deutlich untergeordnet seien. Die Affektpathologie stelle ein Sekundärphänomen auf dem Boden der primären Persönlichkeitspathologie dar. Die subjektiven Angaben des Beschwerdeführers hätten beim Vergleich mit den objektiven Untersuchungsbefunden keinerlei Inkonsistenzen ergeben. Es gebe auch keine Hinweise auf bewusste Selbstlimitierungen oder Krankheitsgewinne. Die Prüfung der ICF-Kriterien führe zum Ergebnis, dass beim Versicherten aus psychiatrischer Sicht keine qualitativen Funktionsfähigkeiten mehr vorliegen würden, um im ersten Arbeitsmarkt wieder integriert werden zu können. Es liege eine schwere psychische Störung vor, die dauerhaft, chronifiziert und therapierefraktär sei. Sowohl in der bisherigen Tätigkeit wie auch in jeder anderen angepassten Tätigkeit bestehe aus psychiatrischer Sicht keine Arbeitsfähigkeit. Der Versicherte sei letztmals im Oktober 2012 im ersten Arbeitsmarkt tätig gewesen, erst seit Dezember 2017 stehe er in psychiatrischer Behandlung. Damit stelle sich eine schwierige Ausgangslage dar, den Beginn der Arbeitsunfähigkeit festzulegen. Aufgrund der Persönlichkeitsentwicklung könne durchaus davon ausgegangen werden, dass bereits ab November 2012 keine verwertbare Arbeitsfähigkeit mehr vorgelegen habe, womit ein ausgesprochen langer Zeitraum retrospektiv abgedeckt würde. Es könne aber auch ohne weiteres argumentiert werden, dass die Arbeitsunfähigkeit erst ab Dezember 2017 bestanden habe, als sich der Beschwerdeführer in psychiatrische Behandlung begeben habe.</w:t>
      </w:r>
    </w:p>
    <w:p>
      <w:r>
        <w:rPr>
          <w:b/>
        </w:rPr>
        <w:t>E. 6</w:t>
      </w:r>
    </w:p>
    <w:p>
      <w:r>
        <w:t>Das Gerichtsgutachten von PD Dr. H.____ vom 25. September 2020 ist sowohl formal als auch inhaltlich umfassend und schlüssig. Es basiert auf einer ausführlichen Untersuchung und berücksichtigt die ganze Krankengeschichte. Der Gutachter setzt sich differenziert mit den abweichenden Diagnosen und Beurteilungen auseinander, seine Schlussfolgerungen sind nachvollziehbar begründet und überzeugen. Er gibt auch detailliert und differenziert Auskunft über die Funktionseinbussen und Ressourcen des Beschwerdeführers. Die bundesgerichtlichen Anforderungen an ein beweistaugliches psychiatrisches Gutachten sind somit erfüllt. Da im Übrigen die Parteien keine Einwände gegen das Gutachten vorgebracht haben, kann ohne weiteres darauf abgestellt werden. 7.1 Einzig in Bezug auf den Beginn der Arbeitsunfähigkeit vertreten die Parteien unterschiedliche Auffassungen, wobei sich beide Parteien auf die gutachterlichen Äusserungen von PD Dr. H.____ berufen können, der sich im Ergebnis bezüglich Beginns der Arbeitsunfähigkeit nicht festlegt, sondern dafür sowohl November 2012 als auch Dezember 2017 als vertretbar erachtet. 7.2 PD Dr. H.____ begründet November 2012 als Beginn der Arbeitsunfähigkeit mit der Analyse der Persönlichkeitsentwicklung und stellt offensichtlich darauf ab, dass der Beschwerdeführer ab diesem Zeitpunkt nie mehr gearbeitet habe. Eine psychische Dekompensation, welche damals zeitgleich erfolgt wäre, ist aber weder behauptet noch dokumentiert. Die Annahme, dass zeitgleich mit der Aufgabe der letzten Arbeitsstelle auch eine volle Arbeitsunfähigkeit eingetreten ist, ohne dass weitere entsprechende Hinweise vorliegen, wirkt spekulativ. Dem scheint sich auch der Gerichtsgutachter bewusst gewesen zu sein, indem er einräumt, dass damit ein ausgesprochen langer Zeitraum retrospektiv abgedeckt würde und gleichzeitig darauf hinweist, dass auch die Aufnahme der Psychotherapie im Dezember 2017 als Beginn der vollen Arbeitsunfähigkeit in Frage kommt. In der Tat erscheint erst durch die Aufnahme der psychotherapeutischen Behandlung und in der Folge durch die stationären Klinikaufenthalte in der E.____ vom 7. März 2018 bis 30. April 2018 und vom 31. Juli 2018 bis 5. September 2018 die volle Arbeitsunfähigkeit belegt und nachvollziehbar. Frühere echtzeitliche Nachweise für eine psychische Dekompensation sind wie gesagt aus den medizinischen Akten nicht ersichtlich, so dass ein rechtsgenüglicher Beleg der psychisch bedingten Arbeitsunfähigkeit erst ab Dezember 2017 besteht. Folglich geht die IV-Stelle zu Recht davon aus, dass das Wartejahr im Dezember 2017 zu laufen begann und im Dezember 2018 endete (vgl. zum Rentenbeginn auch Art. 29 Abs. 1 IVG). Der Beschwerdeführer hat folglich ab 1. Dezember 2018 Anspruch auf eine ganze IV-Rente infolge einer 100%igen Arbeitsunfähigkeit. Bei diesem Ergebnis erübrigt sich somit ein Einkommensvergleich.</w:t>
      </w:r>
    </w:p>
    <w:p>
      <w:r>
        <w:rPr>
          <w:b/>
        </w:rPr>
        <w:t>E. 8</w:t>
      </w:r>
    </w:p>
    <w:p>
      <w:r>
        <w:t>Nachdem aufgrund der vorliegenden medizinischen Unterlagen erst ab Dezember 2017 mit dem Beweisgrad der überwiegenden Wahrscheinlichkeit eine relevante Arbeitsunfähigkeit ausgewiesen ist, erweist sich die in Rechtskraft erwachsene Verfügung vom 5. Februar 2016 im Ergebnis als korrekt, jedenfalls sicherlich nicht als zweifellos unrichtig, so dass eine Wiedererwägung dieser Verfügung ausgeschlossen ist. Folglich kann offenbleiben, ob das entsprechende Begehren im Rahmen der vorliegenden Beschwerde prozessual überhaupt zulässig und zu prüfen wäre. 9.1 Es bleibt über die Kosten zu befinden. Gemäss Art. 69 Abs. 1 bis IVG ist das Beschwerdeverfahren bei Streitigkeiten um die Bewilligung oder die Verweigerung von IV-Leistungen vor dem kantonalen Versicherungsgericht kostenpflichtig. Nach § 20 Abs. 3 VPO werden die Verfahrenskosten in der Regel der unterliegenden Partei auferlegt. Da die IV-Stelle überwiegend unterliegende Partei ist, sind ihr die ganzen Verfahrenskosten aufzuerlegen. 9.2 Nach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(vgl. BGE 137 V 210 und 137 V 265 E. 4.4.2). Vorliegend war das Kantonsgericht anlässlich der Urteilsberatung vom 19. März 2020 zum Ergebnis gelangt, dass das von der IV-Stelle eingeholte Gutachten von Dr. B.____ vom 18. Januar 2019 den rechtsprechungsgemässen Anforderungen an ein beweistaugliches Gutachten (BGE 125 V 352 E. 3a) nicht genügte. Da ein Entscheid in der Angelegenheit gestützt auf die damals vorhandene Aktenlage nicht möglich war, beschloss das Kantonsgericht, die erforderliche zusätzliche Abklärung des medizinischen Sachverhaltes im Rahmen eines Gerichtsgutachtens vornehmen zu lassen. Das in der Folge eingeholte psychiatrische Gutachten von PD Dr. H.____ vom 25. September 2020 war mit anderen Worten für eine abschliessende Beurteilung des Rentenanspruchs des Versicherten unerlässlich. Im Lichte der geschilderten bundesgerichtlichen Rechtsprechung sind demnach die Kosten dieses Gutachtens von Fr. 7’000.-- der IV-Stelle aufzuerlegen. 9.3 Laut Art. 61 lit. g ATSG hat die obsiegende Beschwerde führende Person Anspruch auf Ersatz der Parteikosten. Da der Versicherte mehrheitlich obsiegende Partei ist, ist ihm eine ungekürzte Parteientschädigung zu Lasten der IV-Stelle zuzusprechen. Die Rechtsvertreterin des Versicherten macht einen Aufwand von 28.25 Stunden à Fr. 250.-- sowie Auslagen von Fr. 441.40 geltend (vgl. Kostennote vom 22. Dezember 2020). Dem Versicherten ist demnach eine Parteientschädigung in der Höhe von Fr. 8'082.75 (inkl. Auslagen und Mehrwertsteuer) zu Lasten der IV-Stelle zuzusprechen. Demgemäss wird erkannt: ://: 1. In teilweiser Gutheissung der Beschwerde wird die angefochtene Verfügung der IV-Stelle vom 2. Mai 2019 aufgehoben und festgestellt, dass der Beschwerdeführer Anspruch auf eine ganze IV-Rente ab 1. Dezember 2018 hat. 2. Die Verfahrenskosten in der Höhe von Fr. 800.-- werden der IV-Stelle Basel-Landschaft auferlegt. 3. Die Kosten für die gerichtliche Begutachtung in der Höhe von Fr. 7'000.-- werden der IV-Stelle Basel-Landschaft auferlegt. 4. Die IV-Stelle Basel-Landschaft hat dem Beschwerdeführer eine Parteientschädigung in der Höhe von Fr. 8’082.75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