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18 401/213 vom 29. August 2019</w:t>
      </w:r>
    </w:p>
    <w:p>
      <w:r>
        <w:t>BL Gerichte, 2019-08-29, DE</w:t>
      </w:r>
    </w:p>
    <w:p>
      <w:r>
        <w:rPr>
          <w:b/>
        </w:rPr>
        <w:t xml:space="preserve">Quelle: </w:t>
      </w:r>
      <w:r>
        <w:t>https://mcp.opencaselaw.ch/entscheid/bl_gerichte_720_18_401_213</w:t>
      </w:r>
    </w:p>
    <w:p>
      <w:r>
        <w:t>FR: BL_GERICHTE 720 18 401/213 du 29 août 2019</w:t>
      </w:r>
    </w:p>
    <w:p>
      <w:r>
        <w:t>IT: BL_GERICHTE 720 18 401/213 del 29 agosto 2019</w:t>
      </w:r>
    </w:p>
    <w:p>
      <w:pPr>
        <w:pStyle w:val="Heading2"/>
      </w:pPr>
      <w:r>
        <w:t>Regeste</w:t>
      </w:r>
    </w:p>
    <w:p>
      <w:r>
        <w:t>Haushaltabklärung</w:t>
      </w:r>
    </w:p>
    <w:p>
      <w:pPr>
        <w:pStyle w:val="Heading2"/>
      </w:pPr>
      <w:r>
        <w:t>Erwägungen</w:t>
      </w:r>
    </w:p>
    <w:p>
      <w:r>
        <w:rPr>
          <w:b/>
        </w:rPr>
        <w:t>E. 3</w:t>
      </w:r>
    </w:p>
    <w:p>
      <w:r>
        <w:t>Unter diesen Umständen liegt keine Verletzung von Art. 37 Abs. 1 ATSG vor, wenn dem Rechtsvertreter die Anwesenheit bei der Befragung der Beschwerdeführerin durch die Abklärungsperson im Haushalt verweigert wird. Damit ist die vorliegende Beschwerde abzuweisen.</w:t>
      </w:r>
    </w:p>
    <w:p>
      <w:r>
        <w:rPr>
          <w:b/>
        </w:rPr>
        <w:t>E. 4</w:t>
      </w:r>
    </w:p>
    <w:p>
      <w:r>
        <w:t>Es bleibt über die Kosten zu entscheiden. Gemäss Art. 69 Abs. 1 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Zwischenverfügungen im Zusammenhang mit der Anordnung einer Haushaltsabklärung sind als Bestandteil des Verfahrens zur Beurteilung des Leistungsanspruchs zu betrachten, weshalb das vorliegende Verfahren kostenpflichtig ist. In diesem Sinne entschied das Kantonsgericht bereits die Frage, ob ein Beschwerdeverfahren betreffend die Anordnung einer Begutachtung kostenpflichtig sei (Urteil des Kantonsgerichts vom 10. November 2016, 720 16 84/295, E. 5.2 ). Die Verfahrenskosten im Umfang von Fr. 400.-- sind daher der Beschwerdeführerin zu auferlegen und mit dem geleisteten Kostenvorschuss zu verrechnen. Eine Parteientschädigung wird dem Prozessausgang entsprechend nicht zugesprochen.</w:t>
      </w:r>
    </w:p>
    <w:p>
      <w:r>
        <w:rPr>
          <w:b/>
        </w:rPr>
        <w:t>E. 5</w:t>
      </w:r>
    </w:p>
    <w:p>
      <w:r>
        <w:t>Beim vorliegenden Entscheid handelt es sich um einen selbstständig eröffneten Zwischenentscheid im Sinne des BGG. Demnach ist gegen ihn eine Beschwerde in öffentlich-rechtlichen Angelegenheiten an das Bundesgericht nur unter den in Art. 93 Abs. 1 BGG genannten Voraussetzungen zulässig. Der Entscheid, ob diese Voraussetzungen gegeben sind, obliegt dem Bundesgericht. Die nachstehende Rechtsmittelbelehrung erfolgt unter diesem ausdrücklichen Vorbehalt. Demgemäss wird erkannt: 1. Die Beschwerde wird abgewiesen. 2. Die Verfahrenskosten in der Höhe von Fr. 400.-- werden der Beschwerdeführerin auferlegt und mit dem geleisteten Kostenvorschuss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