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29/190 vom 26. Juli 2018</w:t>
      </w:r>
    </w:p>
    <w:p>
      <w:r>
        <w:t>BL Gerichte, 2018-07-26, DE</w:t>
      </w:r>
    </w:p>
    <w:p>
      <w:r>
        <w:rPr>
          <w:b/>
        </w:rPr>
        <w:t xml:space="preserve">Quelle: </w:t>
      </w:r>
      <w:r>
        <w:t>https://mcp.opencaselaw.ch/entscheid/bl_gerichte_720_18_29_190</w:t>
      </w:r>
    </w:p>
    <w:p>
      <w:r>
        <w:t>FR: BL_GERICHTE 720 18 29/190 du 26 juillet 2018</w:t>
      </w:r>
    </w:p>
    <w:p>
      <w:r>
        <w:t>IT: BL_GERICHTE 720 18 29/190 del 26 luglio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25. Januar 2018 ist demnach einzutreten.</w:t>
      </w:r>
    </w:p>
    <w:p>
      <w:r>
        <w:rPr>
          <w:b/>
        </w:rPr>
        <w:t>E. 2</w:t>
      </w:r>
    </w:p>
    <w:p>
      <w:r>
        <w:t>Streitig und zu prüfen ist, ob der Rentenanspruch der Beschwerdeführerin zu Recht abgelehnt wurde. Massgebend ist dabei der Sachverhalt, wie er sich bis zum Erlass der angefochtenen Verfügung vom 13. Dezember 2017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4.2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4.3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(vgl. Art. 27 bis der Verordnung über die Invalidenversicherung [IVV] vom 17. Januar 1961 in der bis zum 31. Dezember 2017 geltenden Fassung). 4.4 Vorliegend wird nicht bestritten, dass die IV-Stelle den Invaliditätsgrad der Versicherten nach der gemischten Methode berechnet hat. Aufgrund der Angaben der Versicherten im Fragebogen zur Ermittlung der Erwerbstätigkeit, welcher von dieser am 24. Januar 2017 unterzeichnet wurde, ging die IV-Stelle zu Recht davon aus, dass diese ohne gesundheitliche Einschränkungen im Tätigkeitsbereich Erwerbsleben im Umfang von 70% und im Tätigkeitsbereich Haushalt zu 30% tätig wäre. 4.5 In Bezug auf die Bemessung der Invalidität aufgrund der gemischten Methode ist zu beachten, dass Art. 27 bis Abs. 3 lit. a IVV in der ab dem 1. Januar 2018 geltenden Fassung bestimmt,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des Bundesgerichts kann die Invaliditätsbemessung mittels der gemischten Methode nach dem neuen Berechnungsmodell gemäss Art. 27 bis Abs. 2 bis 4 IVV in der Fassung vom 1. Dezember 2017 im Hinblick auf eine einheitliche und rechtsgleiche Behandlung der Versicherten erst ab dem Zeitpunkt des Inkrafttretens dieser Bestimmung am 1. Januar 2018 erfolgen (Urteil des Bundesgerichts vom 30. Januar 2018, 8C_462/2017, E. 5.3 mit Hinweisen). Aus diesem Grund kann dem Antrag der Beschwerdeführerin, wonach die Berechnung gestützt auf die ab dem 1. Januar 2018 geltenden Bestimmungen zu erfolgen habe, nicht gefolgt werden. Die IV-Stelle anerkannte aber bereits in der Duplik vom 22. Mai 2018, dass sie nach Abschluss des vorliegenden Beschwerdeverfahrens den Invaliditätsgrad anhand der seit dem 1. Januar 2018 geltenden Berechnungsmethode neu berechnen wird. 5.1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6.1 Dem bidisziplinären Gutachten der Dres. D.____ und C.____ vom 28. Septmeber 2016 ist aus rheumatologischer Sicht keine Diagnose mit Auswirkung auf die Arbeitsfähigkeit zu entnehmen. Ohne Einfluss werden ein Widespread Pain-Syndrom/Fibromyalgie (ICD-10 M79.7), ein chronifizierter Knieschmerz rechts nach Treppensturz am 9. Januar 2015, ein chronifiziertes lumbovertebrales Schmerzsyndrom (ICD-10 F54.5) mit pseudoradikulärer Ausstrahlung ins Gesäss und lateral ins rechte Bein bei leichten degenerativen Veränderungen der unteren Lendenwirbelsäule mit Chondrose LWK5/SWK1 ohne fortgeschrittene Spondylarthrose, eine beidseitige, jedoch rechtsbetonte Spreiz- und Senkfussstellung mässigen Ausmasses, fünf Aborte mit zweimaliger Kaiserschnittentbindung, eine Nasenoperation und eine Stauballergie genannt. Sowohl in Bezug auf die Arbeitsfähigkeit in der angestammten Tätigkeit im Reinigungsdienst als auch hinsichtlich einer angepassten Tätigkeit respektive einer Verweistätigkeit bestehe keine Einschränkung für leichte bis mittelschwere Tätigkeiten in Wechselbelastung und unter Vermeiden von Zwangshaltungen. Vermieden werden sollten repetitives Treppensteigen sowie das Begehen von Leitern. Für die Beurteilung der Fibromyalgie sei die psychiatrische Beurteilung massgebend, da die Einstellung der Arbeitstätigkeit aus psychischen Gründen erfolgt sei. Der Psychiater Dr. C.____ diagnostizierte eine rezidivierende depressive Störung, zurzeit mittelgradige Episode mit somatischem Syndrom und attestiert eine Arbeitsunfähigkeit von 60% für jegliche Tätigkeiten. Er fasste in der Konsensbesprechung zusammen, dass sich bei der Explorandin im Anschluss an die insgesamt fünf ungewollten Schwangerschaftsabbrüche zunehmend eine depressive Symptomatik etabliert habe. Diese habe zwar behandelt, jedoch nicht ausreichend remittiert werden können, so dass nach wie vor eine mittelgradige depressive Symptomatik mit somatischem Syndrom bestehe (ICD-10: F33.11). 6.2 Der RAD-Arzt Dr. med. E.____, FMH Psychiatrie und Psychotherapie, äusserte sich am 30. September 2016 dahingehend, dass das bidisziplinäre Gutachten der Dres. D.____ und C.____ schlüssig sei und dass ab Dezember 2012 eine Arbeitsunfähigkeit von 60% sowohl in der angestammten als auch in einer Verweistätigkeit vorliege. Mit Arztbericht vom 27. März 2017 stellte er sodann fest, dass die antidepressiven Behandlungsmöglichkeiten bei weitem noch nicht ausgeschöpft worden seien. Auch eine (halb-)stationäre psychiatrische Behandlung stelle eine Therapieoption mit massgeblichem Verbesserungspotential dar. Von einer Therapieresistenz könne nicht ausgegangen werden.</w:t>
      </w:r>
    </w:p>
    <w:p>
      <w:r>
        <w:rPr>
          <w:b/>
        </w:rPr>
        <w:t>E. 7</w:t>
      </w:r>
    </w:p>
    <w:p>
      <w:r>
        <w:t>Die IV-Stelle stellte bei der Beurteilung des Gesundheitszustands und der Arbeitsfähigkeit in der angefochtenen Verfügung vom 13. Dezember 2017 auf die Stellungnahmen des RAD vom 27. März 2017 ab und kam dabei zum Schluss, dass bei der Beschwerdeführerin aus versicherungsmedizinischer Sicht kein Gesundheitsschaden im Sinne einer Invalidität vorliege. Dabei stützte sie sich auf die bis anhin geltende Rechtsprechung des Bundesgerichts, wonach leichte bis mittelschwere Depressionen nur dann invalidisierend sind, wenn diese sich als therapieresistent erweisen (vgl. BGE 140 V 193 E. 3.3) Diese Praxis wurde jedoch mit BGE 143 V 409 und 418 geändert. Gemäss BGE 143 V 418 sind sämtliche psychischen Leiden, laut BGE 143 V 409 namentlich auch leichte bis mittelschwere Depressionen, einem strukturierten Beweisverfahren nach BGE 141 V 281 zu unterziehen. In der Folge hielt die IV-Stelle unter Berücksichtigung dieser neuen Rechtsprechung in der Vernehmlassung vom 16. März 2018 fest, dass sie vollumfänglich auf das bidisziplinäre Gutachten der Dres. D.____ und C.____ vom 28. September 2016 abstelle. Sie ging demnach davon aus, dass die Beschwerdeführerin für jegliche Tätigkeit eine Arbeitsfähigkeit von 40% aufweise. Diese vorinstanzliche Beweiswürdigung ist nicht zu beanstanden.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nicht vor. Das Gutachten weist weder formale noch inhaltliche Mängel auf. Es ist - wie dies vom Bundesgericht verlangt wird (vgl. E. 5.2 hiervor) - für die streitigen Belange umfassend, beruht auf allseitigen Untersuchungen, berücksichtigt alle geklagten Beschwerden und ist in Kenntnis aller relevanten Vorakten abgegeben worden. Ebenso leuchtet es in der Darlegung der medizinischen Zusammenhänge bzw. der Beurteilung der medizinischen Situation ein, setzt sich mit den vorhandenen abweichenden ärztlichen Einschätzungen auseinander und ist letztlich auch in ihren Schlussfolgerungen überzeugend. Die Gutachter nehmen eine nachvollziehbare Beurteilung der Arbeitsfähigkeit der Versicherten vor und legen unter anderem mittels Mini-ICF-APP-Rating-Bogen dar, dass die Versicherte insbesondere aus psychiatrischer Sicht 60% für jegliche Tätigkeiten arbeitsunfähig ist. Unter diesen Umständen ist nicht zu beanstanden, dass die IV-Stelle auf das Gutachten der Dres. D.____ und C.____ abstellte. Dieses Vorgehen wir auch von der Beschwerdeführerin nicht bestritten. 8.1 In einem nächsten Schritt ist zu prüfen, wie sich die leidensbedingte Einschränkung in erwerblicher Hinsicht auswirkt (vgl. Art. 16 ATSG; E. 4.1 hiervor). 8.2 Bei der Bemessung des Valideneinkommens ist entscheidend, was die versicherte Person nach dem Beweisgrad der überwiegenden Wahrscheinlichkeit im Zeitpunkt des Rentenbeginns tatsächlich verdienen würde, wenn sie nicht invalid geworden wäre (Urteil des Bundesgerichts vom 16. Dezember 2012, 8C_600/2012, E. 4.1.1). Die Einkommensermittlung hat so konkret wie möglich zu erfolgen, weshalb in der Regel von der Tätigkeit, welche die versicherte Person vor Eintritt des Gesundheitsschadens ausgeübt hat, auszugehen ist (Urteil des Bundes gerichts vom 26. November 2002, I 491/01, E. 2.3.1). Nachdem die Versicherte mit Blick auf den mutmasslichen Rentenbeginn während rund 10 Jahren keiner Erwerbstätigkeit mehr nachgegangen ist, ist ihr hypothetisches Valideneinkommen anhand der lohnstatistischen Angaben der schweizerischen Lohnstrukturerhebung (LSE) zu bestimmen. Mangels Berufserfahrung und angesichts ihrer bescheidenen Erwerbsbiographie ist hierfür auf den Totalwert der LSE 2014, Frauen Kompetenzniveau 1 (LSE 2014, TA 1, monatlich Fr. 4‘300.--) abzustellen. Nicht anders ist hinsichtlich ihres hypothetischen Invalideneinkommens zu verfahren, da die Versicherte nach Eintritt ihres Gesundheitsschadens keine zumutbare neue Erwerbstätigkeit aufgenommen hat (BGE 124 V 321). Die beiden Vergleichseinkommen wären in einem nächsten Schritt sodann auf die durchschnittliche Wochenarbeitszeit umzurechnen und letztlich an die im Zeitpunkt des mutmasslichen Rentenbeginns eingetretene Nominallohnentwicklung anzupassen. Da ihnen jedoch dieselbe lohnstatistische Datenbasis zu Grunde zu legen ist, kann auf ein derart differenziertes Vorgehen vorliegend verzichtet und ein Prozentvergleich vorgenommen werden (BGE 114 V 313, E. 3a). Beim vorliegenden Prozentvergleich ist im Erwerbsbereich eine invaliditätsbedingte Arbeitsunfähigkeit von 60% massgebend. Unter Berücksichtigung, dass die Beschwerdeführerin 70% erwerbstätig wäre und sie aufgrund der Zumutbarkeitsbeurteilung 40% arbeitsfähig ist, resultiert im Ergebnis ein Invaliditätsgrad von 42.86%. 8.3.1 Daran ändern die Ausführungen der Beschwerdeführerin nichts. Sie machte geltend, dass bei der Festlegung des Invalideneinkommens zu Unrecht kein leidensbedingter Abzug im Umfang von 15% vorgenommen worden sei. Zwar sind bei der Ermittlung des Invalideneinkommens anhand lohnstatistischer Angaben praxisgemäss verschiedene Abzüge zulässig. Im Entscheid BGE 126 V 75 ff. hat das Bundesgericht seine Rechtsprechung zu den Abzügen vom Tabellenlohn bereinigt und weiterentwickelt.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S. 301 mit Hinweis). Dabei ist der Abzug vom statistischen Lohn unter Berücksichtigung aller jeweils in Betracht fallenden Merkmale letztlich aber auf insgesamt höchstens 25% zu begrenzen.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Bundesgerichts vom 7. April 2016, 9C_898/2015, E. 1). 8.3.2. Die Beschwerdeführerin legt vorliegend nicht dar, dass die gesundheitlichen Beeinträchtigungen ausserordentlich negative Auswirkungen auf den Lohn hätten. Solche sind denn auch nicht ersichtlich. Insbesondere ist nicht nachvollziehbar, wieso die Versicherte keine einfache Kontrolltätigkeiten ausüben können soll. Die Gutachter zeigen zwar auf, dass sie aufgrund der Reduktion des Antriebs, der Interessen, der Anhedonie, der erhöhten Ermüdbarkeit, dem Grübeln, der Konzentrationsstörungen und der Schlafstörungen eingeschränkt ist. Sie tragen diesen Beeinträchtigungen jedoch mit einer 60%-igen Arbeitsunfähigkeit in Bezug auf jegliche Tätigkeit genügend Rechnung. Zudem sind laut Gutachten leichte bis mittelschwere Tätigkeiten in Wechselbelastung und unter Vermeidung von Zwangshaltungen, repetitivem Treppensteigen und Begehen von Leitern weiterhin möglich. Auch wenn davon ausgegangen wird, dass ein solches Anforderungsprofil nicht mit dem Tätigkeitsprofil einer im Reinigungsdienst tätigen Person übereinstimmt, so gibt es dennoch genügend Verweistätigkeiten, welche die Beschwerdeführerin ohne Einschränkungen ausüben kann und ihrem Belastungsprofil gerecht werden. Unter diesen Umständen gibt es keinen Anlass, in das Ermessen der Vorinstanz einzugreifen und einen leidensbedingten Abzug vorzunehmen. Sie hat zu Recht auf einen leidensbedingten Abzug verzichtet und einen Invaliditätsgrad von 42,86% im erwerblichen Bereich berechnet. 9.1 Zu prüfen bleibt, in welchem Masse die Versicherte zufolge ihrer gesundheitlichen Beschwerden im Haushalt eingeschränkt ist. Die Vorinstanz hat in der Vernehmlassung vom 16. März 2018 im Aufgabenbereich eine Einschränkung von 13,9% angenommen, indem sie auf den Haushaltsbericht vom 25. Januar 2017 abgestellt hat. 9.2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9.3 Leidet die im Haushalt tätige Person (auch) an psychischen Gesundheitsbeeinträchtigungen, so gilt es zusätzlich zu berücksichtigen, dass die grundsätzliche Massgeblichkeit der Abklärungsberichte, auch wenn die erwähnten Anforderungen erfüllt wären, praxisgemäss eingeschränkt ist (vgl. AHI-Praxis 2001 S. 162 E. 3d mit Hinweis). Im Urteil vom 22. Dezember 2003 (vgl. AHI-Praxis 2004 S. 137 ff.) hat das damalige EVG seine Rechtsprechung zur Bemessung der Invalidität von ganz oder teilweise im Haushalt tätigen Personen, welche an einem psychischen Gesundheitsschaden leiden, präzisiert (E. 5, insbesondere E. 5.3).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aber in der Regel mehr Gewicht einzuräumen als dem Bericht über die Haushaltsabklärung (Urteil des Bundesgerichts vom 17. September 2012, 8C_229/2012, E. 5; vgl. auch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 Für die Rechtsanwendung im konkreten Fall bedeutet dies, dass nach Massgabe der Kriterien, die von der Rechtsprechung entwickelt worden sind, der Beweiswert sowohl der medizinischen Unterlagen (BGE 125 V 352 E. 3) als auch des Haushaltsabklärungsberichts zu beurteilen ist.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M. vom 6. September 2004, I 249/04, E. 5.1.1). 9.4 Der versicherten Person sind im Rahmen der Schadenminderungspflicht Massnahmen zuzumuten, die ein vernünftiger Mensch in der gleichen Lage ergreifen würde, wenn er keinerlei Einschränkungen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zu berücksichtigende Mithilfe von Familienangehörigen geht daher bei gesundheitlicher Einschränkung weiter als ohne Gesundheitsschädigung. Geht es um die Mitarbeit von Familienangehörigen, ist danach zu fragen, wie sich eine vernünftige Familiengemeinschaft einrichten würde, wenn keine Versicherungsleistungen zu erwarten wären (BGE 133 V504 E. 4.2 mit Hinweisen). 9.5 Der Haushaltsbericht vom 25. Januar 2017 ist umfassend und berücksichtigt die Beschwerden der Versicherten sowie die medizinischen Vorakten. Die verschiedenen Aufgabenbereiche (Haushaltführung, Ernährung, Wohnungspflege, Einkauf, Wäsche) sind sorgfältig und ausführlich untersucht und gewichtet worden. Schadensmindernd wurde namentlich angerechnet, dass der Ehemann der Versicherten bei der Haushaltsführung, der Zubereitung von Mahlzeiten sowie der Küchenreinigung, der Wohnungspflege ebenso wie beim Einkaufen behilflich ist. Anzeichen dafür, dass die Abklärungsperson nicht qualifiziert sei, liegen keine vor. Die Beweistauglichkeit des Haushaltsberichts ist damit unzweifelhaft. 9.6 Daran ändern auch die Ausführungen der Beschwerdeführerin nichts. Sie macht in ihrer Replik insbesondere geltend, dass die tatsächlichen Beeinträchtigungen im Haushaltsbericht zwar benannt, aber nicht hinreichend berücksichtigt worden seien. Sie leide unter deutlichen Konzentrationsstörungen, welche sie im Alltag bemerke. Sowohl beim Kochen als auch beim Waschen mache sie stets Fehler. Ungenügend sei einerseits die Bewertung einer 20%-igen Beeinträchtigung beim Kochen. Die Erledigung dieser Tätigkeit sei nicht je nach gesundheitlicher Verfassung irgendwann im Tagesablauf möglich, da Mahlzeiten zu mehr oder weniger vorgegebenen Zeiten bereit sein sollten. Andererseits genügten auch die jeweiligen Einschränkungen von 10% in den Bereichen Wäsche und Wohnungspflege nicht. Zu Unrecht werde zudem eine zumutbare Mithilfe durch den Ehemann angenommen. Im Gutachten von Dr. D.____ und Dr. C.____ werde explizit darauf hingewiesen, dass die geltend gemachten Einschränkungen insbesondere auch die Haushaltführung betreffen würden. 9.7 Zunächst ist festzustellen, dass - entgegen der Auffassung der Beschwerdeführerin - die Gutachter im bidisziplinären Gutachten das Ausmass der Arbeitsunfähigkeit im Haushaltsbereich nicht genau festlegten. Dem gegenüber den Gutachtern beschriebenen Tagesablauf folgend ist davon auszugehen, dass die Beschwerdeführerin den Haushalt grösstenteils alleine führt. Sie gab an, dass sie koche, die Wäsche wasche und die Wohnung reinige. Lediglich beim wöchentlichen Grosseinkauf in Deutschland werde sie von ihrem Ehemann unterstützt. Diese Ausführungen entsprechenden Angaben im Haushaltbericht, welcher im Bereich Kochen von einer 20%-igen und in den Bereichen Wäsche sowie Wohnungspflege von einer je 10%-igen Beeinträchtigung ausgeht. Der Beschwerdeführerin ist zwar zuzustimmen, wenn sie geltend macht, dass Mahlzeiten zu geregelten Zeiten eingenommen werden sollen. Alle anderen Haushaltstätigkeiten können jedoch über den Tag verteilt erledigt werden, so dass sie Ruhepausen nach ihren individuellen Bedürfnissen einlegen kann. Es kann deshalb festgestellt werden, dass der im Gutachten beschriebene Tagesablauf dem im Haushaltsbericht beschriebenen Aktivitätsausmass entspricht. Unter diesen Umständen kann der Beschwerdeführerin nicht gefolgt werden, wenn sie geltend macht, tagsüber sehr viel zu schlafen, so dass sich ihr Ehemann um sämtliche Reinigungsabreiten kümmern müsse. Der Einwand, der Ehemann könne im Haushalt nicht mithelfen, weil er selbst gesundheitliche Probleme habe, ist ohnehin nicht stichhaltig. Nach bundesgerichtlicher Rechtsprechung darf bei einem pensionierten Ehemann davon ausgegangen werden, dass die Eheleute den Haushalt gemeinsam führen und die Versicherte daher nur anteilmässig damit belastet wird (vgl. Urteil des Bundesgerichts vom 17. September 2012, 8C_229/2012, E. 9.1). Die im Haushaltsbericht berücksichtigte Zumutbarkeit der Mithilfe des Ehemannes ist damit nicht zu beanstanden. Insgesamt kann deshalb festgehalten werden, dass auf den Haushaltsbericht, welcher eine Beeinträchtigung von 13,9% vorsieht, abzustellen ist.</w:t>
      </w:r>
    </w:p>
    <w:p>
      <w:r>
        <w:rPr>
          <w:b/>
        </w:rPr>
        <w:t>E. 10</w:t>
      </w:r>
    </w:p>
    <w:p>
      <w:r>
        <w:t>In Anwendung der bis 31. Dezember 2017 gültig gewesenen gemischten Methode der Invaliditätsbemessung ergibt sich somit gewichtet nach der zeitlichen Beanspruchung in den jeweiligen Bereichen (Erwerb 70%, Haushalt 30%) eine Einschränkung im Erwerbsbereich von 30% (42.86% x 0.7) und eine solche im Haushaltsbereich von 4.17% (13.9% x 0.3). Gesamthaft resultiert daraus ein rentenausschliessender Invaliditätsgrad von gerundet 34%.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und bei denen eine Urteilsberatung ohne vorgängige Parteiverhandlung erfolgt, setzt das Gericht die Verfahrenskosten in Berücksichtigung des bundesrechtlichen Kostenrahmens seit 1. Juli 2016 einheitlich auf Fr. 800.-- fest. Nach § 20 Abs. 3 VPO werden die Verfahrenskosten in der Regel der unterliegenden Partei in angemessenem Ausmass auferlegt. Vorliegend ist im Ergebnis die Beschwerdeführerin unterliegende Partei, weshalb die Verfahrenskosten im Umfang von Fr. 800.-- ihr aufzuerlegen sind. Sie werden mit dem bereits geleisteten Vorschuss in Höhe von Fr. 800.-- verrechnet. 11.2 Die ausserordentlichen Kosten sind dem Prozessausgang entsprechend wettzuschlagen. Demgemäss wird erkannt : ://: 1. Die Beschwerde wird abgewiesen. 2. Die Verfahrenskosten in der Höhe von Fr. 800.-- werden der Beschwerdeführerin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