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18 282/199 vom 12. Mai 2016</w:t>
      </w:r>
    </w:p>
    <w:p>
      <w:r>
        <w:t>BL Gerichte, 2016-05-12, DE</w:t>
      </w:r>
    </w:p>
    <w:p>
      <w:r>
        <w:rPr>
          <w:b/>
        </w:rPr>
        <w:t xml:space="preserve">Quelle: </w:t>
      </w:r>
      <w:r>
        <w:t>https://mcp.opencaselaw.ch/entscheid/bl_gerichte_720_18_282_199</w:t>
      </w:r>
    </w:p>
    <w:p>
      <w:r>
        <w:t>FR: BL_GERICHTE 720 18 282/199 du 12 mai 2016</w:t>
      </w:r>
    </w:p>
    <w:p>
      <w:r>
        <w:t>IT: BL_GERICHTE 720 18 282/199 del 12 maggio 2016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Verfügung der IV-Stelle Basel-Landschaft vom 15. August 2018 aufgehoben und festgestellt wird, dass E.____ sel. das Wartejahr gemäss Art. 28 Abs. 1 lit. b IVG im Zeitpunkt des frühestmöglichen Rentenanspruchs per 1. Mai 2017 erfüllt hat. Die Angelegenheit wird zum Erlass einer neuen Rentenverfügung an die IV-Stelle Basel-Landschaft zurückgewiesen.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 Der von der Beschwerdeführerin geleistete Kostenvorschuss in der Höhe von Fr. 800.-- wird ihr zurückerstattet.</w:t>
      </w:r>
    </w:p>
    <w:p>
      <w:r>
        <w:rPr>
          <w:b/>
        </w:rPr>
        <w:t>E. 3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