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18 169/31 vom 31. Januar 2019</w:t>
      </w:r>
    </w:p>
    <w:p>
      <w:r>
        <w:t>BL Gerichte, 2019-01-31, DE</w:t>
      </w:r>
    </w:p>
    <w:p>
      <w:r>
        <w:rPr>
          <w:b/>
        </w:rPr>
        <w:t xml:space="preserve">Quelle: </w:t>
      </w:r>
      <w:r>
        <w:t>https://mcp.opencaselaw.ch/entscheid/bl_gerichte_720_18_169_31</w:t>
      </w:r>
    </w:p>
    <w:p>
      <w:r>
        <w:t>FR: BL_GERICHTE 720 18 169/31 du 31 janvier 2019</w:t>
      </w:r>
    </w:p>
    <w:p>
      <w:r>
        <w:t>IT: BL_GERICHTE 720 18 169/31 del 31 gennaio 2019</w:t>
      </w:r>
    </w:p>
    <w:p>
      <w:pPr>
        <w:pStyle w:val="Heading2"/>
      </w:pPr>
      <w:r>
        <w:t>Regeste</w:t>
      </w:r>
    </w:p>
    <w:p>
      <w:r>
        <w:t>IV-Rente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in der Höhe von Fr. 800.-- werden der Beschwerdeführerin auferlegt und mit dem geleisteten Kostenvorschuss in der Höhe von Fr. 800.-- verrechnet.</w:t>
      </w:r>
    </w:p>
    <w:p>
      <w:r>
        <w:rPr>
          <w:b/>
        </w:rPr>
        <w:t>E. 3</w:t>
      </w:r>
    </w:p>
    <w:p>
      <w:r>
        <w:t>Es wird keine Parteientschädigung zugesprochen.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