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17 426 / 127 vom 17. Mai 2018</w:t>
      </w:r>
    </w:p>
    <w:p>
      <w:r>
        <w:t>BL Gerichte, 2018-05-17, DE</w:t>
      </w:r>
    </w:p>
    <w:p>
      <w:r>
        <w:rPr>
          <w:b/>
        </w:rPr>
        <w:t xml:space="preserve">Quelle: </w:t>
      </w:r>
      <w:r>
        <w:t>https://mcp.opencaselaw.ch/entscheid/bl_gerichte_720_17_426___127</w:t>
      </w:r>
    </w:p>
    <w:p>
      <w:r>
        <w:t>FR: BL_GERICHTE 720 17 426 / 127 du 17 mai 2018</w:t>
      </w:r>
    </w:p>
    <w:p>
      <w:r>
        <w:t>IT: BL_GERICHTE 720 17 426 / 127 del 17 maggio 2018</w:t>
      </w:r>
    </w:p>
    <w:p>
      <w:pPr>
        <w:pStyle w:val="Heading2"/>
      </w:pPr>
      <w:r>
        <w:t>Regeste</w:t>
      </w:r>
    </w:p>
    <w:p>
      <w:r>
        <w:t>IV-Taggeld</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vom 22. Dezember 2017 ist demnach einzutreten. 2.1 Invalide oder von einer Invalidität bedrohte Versicherte haben gemäss Art. 8 Abs. 1 IVG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laut Art. 8 Abs. 3 lit. b IVG unter anderen in Massnahmen beruflicher Art (Berufsberatung, erstmalige Berufliche Ausbildung, Umschulung, Arbeitsvermittlung, Kapitalhilfe). 2.2 Nach Art. 17 Abs. 1 IVG hat die versicherte Person Anspruch auf Umschulung auf eine neue Erwerbstätigkeit, wenn die Umschulung infolge Invalidität notwendig ist und dadurch die Erwerbsfähigkeit voraussichtlich erhalten oder verbessert werden kann. Unter Umschulung im Sinne von Art. 17 IVG ist rechtsprechungsgemäss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(Urteil des Bundesgerichts vom 5. August 2010, 9C_244/2010, E. 3.1, BGE 124 V 108 E. 2a mit Hinweisen). 3.1 Gemäss Art. 22 Abs. 1 IVG haben Versicherte während der Durchführung von Eingliederungsmassnahmen nach Art. 8 Abs. 3 Anspruch auf ein Taggeld, wenn sie an wenigstens drei aufeinander folgenden Tagen wegen der Eingliederung verhindert sind, einer Arbeit nachzugehen oder in ihrer gewohnten Tätigkeit zu mindestens 50% arbeitsunfähig sind (Art. 6 des Bundesgesetzes über den Allgemeinen Teil des Sozialversicherungsrechts [ATSG] vom 6. Oktober 2000). Das Taggeld besteht aus einer Grundentschädigung, auf die alle Versicherten Anspruch haben, und einem Kindergeld für Versicherte mit Kindern (Art. 22 Abs. 2 IVG). 3.2 Die Grundentschädigung beträgt nach Art. 23 Abs. 1 IVG 80% des letzten ohne gesundheitliche Einschränkung erzielten Erwerbseinkommens, jedoch nicht mehr als 80% des Höchstbetrages des Taggeldes nach Art. 24 Abs. 1 IVG (= Höchstbetrag des versicherten Tagesverdienstes nach dem Bundesgesetz über die Unfallversicherung [UVG] vom 20. März 1981). Grundlage für die Ermittlung des Erwerbseinkommens nach Absatz 1 bildet das durchschnittliche Einkommen, von dem Beiträge nach dem Bundesgesetz über die Alters- und Hinterlassenenversicherung (AHVG) vom 20. Dezember 1946 erhoben werden (massgebendes Erwerbseinkommen; Art. 23 Abs. 3 IVG). Gemäss Art. 21 bis Abs. 3 der Verordnung über die Invalidenversicherung (IVV) vom 17. Januar 1961 wird das massgebende Einkommen auf den Tag ausgerechnet. Für Versicherte mit Monatslöhnen wird der letzte ohne gesundheitliche Einschränkungen erzielte Monatslohn mit zwölf vervielfacht. Dem ermittelten Jahreslohn wird ein allfälliger 13. Monatslohn hinzugerechnet. Der so ermittelte Jahresverdienst wird durch 365 geteilt (Art. 21 bis Abs. 3 lit. a IVV). 3.3 Übt eine versicherte Person während der Eingliederung eine Erwerbstätigkeit aus, so wird das Taggeld soweit gekürzt, als es zusammen mit dem aus dieser Tätigkeit erzielten Einkommen das gemäss den Artikeln 21-21 quinquies IVV massgebende Erwerbseinkommen übersteigt (Art. 21 septies Abs. 1 IVV), jedoch gemäss Art. 24 Abs. 1 IVG nur bis zum Tageshöchstbetrag nach Art. 22 Abs. 1 der Verordnung über die Unfallversicherung (UVV) (Fr. 406.- gemäss Stand des UVV vom 1. April 2018). Für die Kürzung des Taggeldes ist der massgebende Lohn im Sinne von Art. 5 AHVG zu berücksichtigen, den die versicherte Person aufgrund der während der Eingliederung ausgeübten Tätigkeit erzielt (Art. 21 septies Abs. 2 IVV). Dabei wird der während der Eingliederung erzielte Lohn auf den Tag umgerechnet. Hierzu wird der Monatslohn durch 30 geteilt, wobei das Resultat auf die nächsten 10 Rappen abgerundet wird (Kreisschreiben über die Taggelder der Invalidenversicherung [KSTI], gültig ab 1. Januar 2001, Stand vom 1. Januar 2018, Rz. 3073). Das Taggeld entspricht in diesem Fall der Differenz zwischen dem massgebenden Erwerbseinkommen und dem während der Eingliederung erzielten Verdienst (KSTI Rz. 3072). Nach der Rechtsprechung des früheren Eidgenössischen Versicherungsgerichts ist für die Kürzung des Taggeldes grundsätzlich der Lohn massgebend, den die versicherte Person durch zumutbare Arbeit erzielen könnte. Aus dem Rechtsgleichheitsgebot ergibt sich, dass nicht nur der tatsächlich erzielte, sondern auch der aus invaliditätsfremden Gründen nicht erwirtschaftete mögliche Verdienst für die Kürzung heranzuziehen ist. Es wäre mit Art. 8 Abs. 1 der Bundesverfassung der Schweizerischen Eidgenossenschaft (BV) vom 18. April 1999 nicht vereinbar, den teilweise arbeitsunfähigen Versicherten, der in Erfüllung der generell in der Sozialversicherung geltenden Schadenminderungspflicht (vgl. BGE 117 V 278 E. 2b) während der Umschulung eine Erwerbstätigkeit ausübt, schlechter zu stellen, als den im gleichen Ausmass Arbeitsunfähigen, der im selben Zeitraum keiner ihm an sich zumutbaren Arbeit nachgeht (EVG-Urteile I 632/99 vom 14.4.2000 E. 2b = SVR 2001 IV Nr. 28 und I 137/05 vom 26.10.2005 E. 2.2 mit Hinweisen). 3.4 Aus den zitierten Bestimmungen und der Rechtsprechung ergibt sich, dass das IV-Taggeld von Erwerbstätigen stets zu kürzen ist, wenn dieses zusammen mit dem während der Eingliederung erzielten bzw. zumutbarerweise möglichen Lohn das massgebende Erwerbseinkommen der versicherten Person überschreitet. Der Kürzung der Taggeldleistungen liegt die Überlegung zugrunde, dass das Taggeld eine Entschädigung für einen Erwerbs- und nicht für einen Zeitausfall bildet (vgl. Ulrich Meyer/Marco Reichmuth , Bundesgesetz über die Invalidenversicherung (IVG), in: Hans-Ulrich Stauffer/Basile Cardinaux, Rechtsprechung des Bundesgerichts zum Sozialversicherungsrecht, Zürich/Basel/Genf 2014, S. 280). Soweit die versicherte Person während der Eingliederung durch Ausübung einer Erwerbstätigkeit bzw. durch eine ihr zumutbare Arbeit keine Erwerbseinbusse erleidet, besteht auch kein Taggeldanspruch ( Ulrich Meyer-Blaser , Zum Verhältnismässigkeitsgrundsatz im staatlichen Leistungsrecht, Diss. Bern 1985, S. 147). Das Rechtsgleichheitsgebot erheischt, dass auch bei Ausübung einer Teilerwerbstätigkeit das Taggeld zu kürzen ist, wenn dieses zusammen mit dem Eigenverdienst das massgebende Einkommen in der Tätigkeit ohne gesundheitliche Einschränkung übersteigt. Bei Ausrichtung ungekürzter Taggelder würde ansonsten die versicherte Person während der Eingliederung mehr verdienen, als wenn sie als Gesunde ihrer früheren Tätigkeit nachgehen würde. Der Zweck von Art. 21 septies IVV ist, mit der Kürzung des Taggeldes einer solchen unerwünschten Überversicherung entgegenzuwirken. 4.1 Im sozialversicherungsrechtlichen Verwaltungsverfahren und im Sozialversicherungsprozess gilt der Untersuchungsgrundsatz. Danach haben Versicherungsträger und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4.2 Dem Kantonsgericht kommt in Sozialversicherungssachen eine vollständige Überprüfungsbefugnis zu. Es ist in der Beweiswürdigung frei (vgl. § 57 des Gesetzes über die Verfassungs- und Verwaltungsprozessordnung [VPO] vom 16. Dezember 1993 in Verbindung mit Art. 61 lit. c ATSG). Die Verwaltung als verfügende Instanz und - im Beschwerdefall - das Gericht dürfen eine Tatsache sodann nur dann als bewiesen annehmen, wenn sie von ihrem Bestehen überzeugt sind (vgl.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w:t>
      </w:r>
    </w:p>
    <w:p>
      <w:r>
        <w:rPr>
          <w:b/>
        </w:rPr>
        <w:t>E. 5</w:t>
      </w:r>
    </w:p>
    <w:p>
      <w:r>
        <w:t>Streitig und zu prüfen ist, ob die IV-Stelle dem Beschwerdeführer zu Recht lediglich Taggelder für die Kurs- und Vorbereitungstage ausgerichtet hat.</w:t>
      </w:r>
    </w:p>
    <w:p>
      <w:r>
        <w:rPr>
          <w:b/>
        </w:rPr>
        <w:t>E. 5.1</w:t>
      </w:r>
    </w:p>
    <w:p>
      <w:r>
        <w:t>Wie in E. 3.1 hiervor erwähnt, werden gemäss Art. 22 Abs. 1 Var. 2 während der Dauer von Eingliederungsmassnahmen Taggelder ausgerichtet, wenn die versicherte Person in ihrer gewohnten Tätigkeit zu mindestens 50% arbeitsunfähig ist. Als gewohnte Tätigkeit wird die bisherige Erwerbstätigkeit verstanden, die die versicherte Person vor Eintritt der gesundheitlichen Beeinträchtigung ordentlicherweise ausgeübt hatte. Im vorliegenden Fall ist der Beschwerdeführer unbestrittenermassen in seiner gewohnten Tätigkeit als Automechaniker vollständig arbeitsunfähig, womit ein Taggeldanspruch gemäss der zweiten Variante im genannten Artikel besteht. Mit der Formulierung "während der Durchführung der Eingliederungsmassnahmen" der erwähnten Bestimmung wird in Lehre und Rechtsprechung ein durchgehender Taggeldanspruch während der gesamten Eingliederungsperiode verstanden (siehe Erwin Murer , IVG-Kommentar, Art. 22 Rz. 65 und Rz. 130; vgl. Entscheid des Sozialversichungsgerichts des Kantons Zürich vom 24. Oktober 2008, IV.2007.00656 E.1 und Entscheid des Sozialversichungsgerichts des Kantons Zürich vom 14. November 2005, IV.2004.00473 E. 6.1). In Anbetracht der Rechtslage ist dem Beschwerdeführer somit in dem Sinne Recht zu geben, als grundsätzlich - wie in dem von ihm vorgebrachten ähnlich gelagerten Fall aus dem Kanton Solothurn - ein durchgehender Taggeldanspruch während der von der Prüfungsordnung des C.____ verlangten zweijährigen Berufspraxis (1. Februar 2015 bis 28. Februar 2017) besteht. An diesem Ergebnis ändern auch die Einwände der Beschwerdegegnerin nichts, die einbringt, dass der Versicherte an den kursfreien Tagen hätte arbeiten können und dass dessen umschulungsbedingte Erwerbseinbusse durch die Gewährung der Taggelder für Absenz bzw. Vorbereitungstage sowie durch die Finanzierung der Zusatzausbildung an der D.____-Akademie bereits genügend abgegolten wurde. Einer Überversicherung ist vielmehr mit einer Kürzung der ausgerichteten Taggelder entgegenzuwirken (siehe sogleich E. 5.3).</w:t>
      </w:r>
    </w:p>
    <w:p>
      <w:r>
        <w:rPr>
          <w:b/>
        </w:rPr>
        <w:t>E. 5.2</w:t>
      </w:r>
    </w:p>
    <w:p>
      <w:r>
        <w:t>Zusätzlich zu den während der zweijährigen Arbeitstätigkeit auszurichtenden Taggelder sind ebenfalls die Tage zu entschädigen, an welchen der Beschwerdeführer aufgrund der Schulungen an der E.____ und an der D.____-Akademie verhindert war, einer Erwerbstätigkeit nachzugehen, da diese wie die vorausgesetzte Berufserfahrung Teil der Umschulung war. Aus den Akten ergibt sich jedoch nicht eindeutig, wie hoch der notwendige Zeitaufwand für die Schulungen war, der mit Taggeldern zu entschädigen ist. Die IV-Stelle wird diesen genauen Schulungsaufwand noch abzuklären haben (siehe E. 6 hiernach).</w:t>
      </w:r>
    </w:p>
    <w:p>
      <w:r>
        <w:rPr>
          <w:b/>
        </w:rPr>
        <w:t>E. 5.3</w:t>
      </w:r>
    </w:p>
    <w:p>
      <w:r>
        <w:t>Die zugesprochenen Taggelder werden - wie zuvor ausgeführt (siehe E. 3.3) - gekürzt, wenn während der Dauer der Eingliederungsmassnahme ein Erwerbseinkommen erzielt wird (Art. 21 septies Abs. 2 IVV). Im vorliegenden Fall hat der Beschwerdeführer während zweier Jahre als Fitnessinstruktor gearbeitet und dabei ein Erwerbseinkommen erwirtschaften können. Da er die geforderte Berufspraxis in seinem eigenen, in selbstständiger Tätigkeit geführten Betrieb erlangte, war es ihm möglich, sich selber einen beliebig ausgewählten oder wie vorliegend gar keinen Lohn auszahlen zu lassen, was mitunter eine Folge auf die Höhe der Taggelder hat. Deshalb ist vorliegend bei der Bemessung des Taggeldanspruchs auf einen objektiven Monatslohn abzustellen (siehe die in E. 3.3 zitierte Rechtsprechung des früheren Eidgenössischen Versicherungsgerichts). Hierbei kann jedoch nicht die Lohnempfehlung des C.____ für Praktikanten vom 27. September 2011 als Ansatz für die Kürzung der IV-Taggelder dienen. Der Beschwerdeführer hatte nämlich als mitarbeitender Geschäftsführer in seinem eigenen Fitnessstudio keine Stellung als Praktikant, welche aufgrund ihres Ausbildungscharakters üblicherweise mit Betreuungsaufwänden von Mitarbeitern desselben Betriebes verbunden ist, was praxisgemäss die Auszahlung eines grundsätzlich tieferen Lohnes rechtfertigt. Vielmehr war der Beschwerdeführer als Mitarbeiter ohne Ausbildung für die F.____ GmbH tätig, weshalb - mit Blick auf die Schadenminderungspflicht der versicherten Person (siehe E. 3.3) - im vorliegenden Fall für die Kürzung der Taggelder als Ansatz auch die Entlöhnung einer derartigen Tätigkeit herangezogen werden muss. Bei der Neubeurteilung der Angelegenheit durch die Vorinstanz hat die IV-Stelle als erzielbares Erwerbseinkommen während der Eingliederungsmassnahme auf den vom C.____ empfohlenen Mindestlohn für Fitnessinstruktoren als Quereinsteiger (MitarbeiterInnen ohne EFZ, FA oder gleichwertige Ausbildung; Fr. 3`000.- pro Monat) abzustellen. Dieser Ansatz ist auch deshalb angemessen, weil der Versicherte von November 2014 bis Mai 2015 in einem ca. 50%igen Pensum bei der G.____ Fitness- und Gesundheitscenter GmbH angestellt war und dabei im Durchschnitt monatlich Fr. 2`000.- verdiente.</w:t>
      </w:r>
    </w:p>
    <w:p>
      <w:r>
        <w:rPr>
          <w:b/>
        </w:rPr>
        <w:t>E. 6</w:t>
      </w:r>
    </w:p>
    <w:p>
      <w:r>
        <w:t>Zusammenfassend ist im Ergebnis festzuhalten, dass der Beschwerdeführer während der zweijährigen Praktikumsdauer vom 1. Februar 2015 bis 28. Februar 2017 einen durchgehenden IV-Taggeldanspruch hat. Die IV-Stelle hat im Rahmen der Rückweisung der Angelegenheit jedoch den genauen zeitlichen Umfang des Schulungsaufwandes auch vor und nach diesen zwei Jahren abzuklären und neu über die mit den Kurs- und Prüfungstagen verbundene Gesamtanzahl der Taggelder zu entscheiden. Bei der Bemessung der Taggelder hat die Vorinstanz ferner das während der Eingliederungsmassnahme erworbene Einkommen in dem Sinne zu berücksichtigen, als das von dem vom C.____ empfohlenen Mindestlohn für Fitnessinstruktoren als Quereinsteiger (MitarbeiterInnen ohne EFZ, FA oder gleichwertige Ausbildung; Fr. 3`000.- pro Monat) ausgegangen werden muss. Die angefochtene Verfügung vom 24. November 2017 ist demzufolge in Gutheissung der Beschwerde aufzuheben und die Angelegenheit zur weiteren Abklärung an die IV-Stelle zurückzuweisen.</w:t>
      </w:r>
    </w:p>
    <w:p>
      <w:r>
        <w:rPr>
          <w:b/>
        </w:rPr>
        <w:t>E. 7</w:t>
      </w:r>
    </w:p>
    <w:p>
      <w:r>
        <w:t>Es bleibt über die Kosten zu befinden:</w:t>
      </w:r>
    </w:p>
    <w:p>
      <w:r>
        <w:rPr>
          <w:b/>
        </w:rPr>
        <w:t>E. 7.1</w:t>
      </w:r>
    </w:p>
    <w:p>
      <w:r>
        <w:t>Gemäss Art. 69 Abs. 1 bis Satz 1 IVG ist das Beschwerdeverfahren bei Streitigkeiten um die Bewilligung oder die Verweigerung von IV-Leistungen vor dem kantonalen Versicherungsgericht kostenpflichtig. Nach § 20 Abs. 3 Satz 2 VPO werden die Verfahrenskosten in der Regel der unterliegenden Partei in angemessenem Ausmass auferlegt. Beim Ausgang des vorliegenden Verfahrens ist die IV-Stelle unterliegende Partei, weshalb sie grundsätzlich die Verfahrenskosten zu tragen hätte.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Es werden deshalb keine Verfahrenskosten erhoben und der vom Beschwerdeführer geleistete Kostenvorschuss in der Höhe von Fr. 800.- ist zurückzuerstatten.</w:t>
      </w:r>
    </w:p>
    <w:p>
      <w:r>
        <w:rPr>
          <w:b/>
        </w:rPr>
        <w:t>E. 7.2</w:t>
      </w:r>
    </w:p>
    <w:p>
      <w:r>
        <w:t>Gemäss Art. 61 lit. g ATSG hat die Beschwerde führende Person Anspruch auf Ersatz der Parteikosten. Diese werden vom Gericht festgesetzt und ohne Rücksicht auf den Streitwert nach der Bedeutung der Streitsache und nach der Schwierigkeit des Prozesses bemessen. Nach ständiger Praxis des Bundesgerichts genügt für den bundesrechtlichen Anspruch auf eine Parteientschädigung auch ein formelles Obsiegen in dem Sinne, dass der Beschwerde führenden Person durch die Aufhebung der angefochtenen Verfügung und der Rückweisung der Sache an die Verwaltung zur weiteren Abklärung und neuen Beurteilung alle Rechte im Hinblick auf eine beanspruchte Leistung gewahrt bleiben (BGE 132 V 215 E. 6.2). Nachdem die Beschwerde gutzuheissen und die Sache zur erneuten Abklärung im Sinne der Erwägungen an die Vorinstanz zurückzuweisen ist, hat diese dem Beschwerdeführer eine Parteientschädigung auszurichten. Der in der Honorarnote vom 13. März 2018 für das vorliegende Verfahren geltend gemachte Zeitaufwand von insgesamt 11 Stunden erweist sich in Anbetracht der sich stellenden Sachverhalts- und Rechtsfragen als angemessen. Die Bemühungen sind zu dem in der Honorarnote angegebenen und dem in Sozialversicherungsprozessen praxisgemäss für durchschnittliche Fälle zur Anwendung gelangenden Stundenansatz von 250 Franken zu entschädigen. Nicht zu beanstanden sind sodann die in der Honorarnote ausgewiesenen Auslagen in der Höhe von insgesamt Fr. 252.30. Dem Beschwerdeführer ist deshalb eine Parteientschädigung in der Höhe von Fr. 3`242.15 (11 Stunden à Fr. 250.- + Auslagen von Fr. 252.30 zuzüglich 8% bzw. 7,7% Mehrwertsteuer) zu Lasten der IV-Stelle zuzusprechen.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 1. Die Beschwerde wird in dem Sinne gutgeheissen, als die angefochtene Verfügung der IV-Stelle Basel-Landschaft vom 24. November 2017 aufgehoben und die Angelegenheit zur weiteren Abklärung im Sinne der Erwägungen und zum Erlass einer neuen Verfügung an die IV-Stelle Basel-Landschaft zurückgewiesen wird. 2. Es werden keine Verfahrenskosten erhoben. Dem Beschwerdeführer wird der geleistete Kostenvorschuss in der Höhe von Fr. 800.-- zurückerstattet. 3. Die IV-Stelle Basel-Landschaft hat dem Beschwerdeführer eine Parteientschädigung in der Höhe von Fr. 3`242.15 (inkl. Auslagen und 8% bzw. 7,7% Mehrwertsteuer) zu bezahlen. Gegen diesen Entscheid wurde am 18. Juli 2018 Beschwerde erhoben (siehe Urteil des Bundesgerichts vom 29. August 2018, 9C_514/2018).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