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17 351/02 vom 23. Mai 2016</w:t>
      </w:r>
    </w:p>
    <w:p>
      <w:r>
        <w:t>BL Gerichte, 2016-05-23, DE</w:t>
      </w:r>
    </w:p>
    <w:p>
      <w:r>
        <w:rPr>
          <w:b/>
        </w:rPr>
        <w:t xml:space="preserve">Quelle: </w:t>
      </w:r>
      <w:r>
        <w:t>https://mcp.opencaselaw.ch/entscheid/bl_gerichte_720_17_351_02</w:t>
      </w:r>
    </w:p>
    <w:p>
      <w:r>
        <w:t>FR: BL_GERICHTE 720 17 351/02 du 23 mai 2016</w:t>
      </w:r>
    </w:p>
    <w:p>
      <w:r>
        <w:t>IT: BL_GERICHTE 720 17 351/02 del 23 maggio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18. Oktober 2017 ist demnach einzutreten.</w:t>
      </w:r>
    </w:p>
    <w:p>
      <w:r>
        <w:rPr>
          <w:b/>
        </w:rPr>
        <w:t>E. 2</w:t>
      </w:r>
    </w:p>
    <w:p>
      <w:r>
        <w:t>Vorab ist auf die in der angefochtenen Verfügung enthaltene Verrechnung von zu Unrecht bezogenen Leistungen der Ehefrau des Beschwerdeführers in der Höhe von Fr. 8'800.-- einzugehen. Die Ausgleichskasse Basel-Landschaft führte diesbezüglich in ihrer Stellungnahme vom 30. Juli 2019 aus, die Verrechnung der Rückforderung mit der Nachzahlung auf der IV-Rente des Ehegatten in der Höhe von Fr. 8'800.-- sollte erlassen werden, worauf die Beschwerdegegnerin in der Vernehmlassung vom 9. August 2019 eine Gutheissung in diesem Punkt beantragte. Aufgrund dieser Entwicklung des Sachverhalts kann somit diesem Begehren des Beschwerdeführers stattgegeben werden. Auf die Verrechnung der Rentenleistungen ist zu verzichten.</w:t>
      </w:r>
    </w:p>
    <w:p>
      <w:r>
        <w:rPr>
          <w:b/>
        </w:rPr>
        <w:t>E. 3</w:t>
      </w:r>
    </w:p>
    <w:p>
      <w:r>
        <w:t>Die IV-Stelle Basel-Landschaft hat dem Beschwerdeführer eine Parteientschädigung in der Höhe von Fr. 2'326.80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