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17 2/74 vom 19. September 2003</w:t>
      </w:r>
    </w:p>
    <w:p>
      <w:r>
        <w:t>BL Gerichte, 2003-09-19, DE</w:t>
      </w:r>
    </w:p>
    <w:p>
      <w:r>
        <w:rPr>
          <w:b/>
        </w:rPr>
        <w:t xml:space="preserve">Quelle: </w:t>
      </w:r>
      <w:r>
        <w:t>https://mcp.opencaselaw.ch/entscheid/bl_gerichte_720_17_2_74</w:t>
      </w:r>
    </w:p>
    <w:p>
      <w:r>
        <w:t>FR: BL_GERICHTE 720 17 2/74 du 19 septembre 2003</w:t>
      </w:r>
    </w:p>
    <w:p>
      <w:r>
        <w:t>IT: BL_GERICHTE 720 17 2/74 del 19 settembre 2003</w:t>
      </w:r>
    </w:p>
    <w:p>
      <w:pPr>
        <w:pStyle w:val="Heading2"/>
      </w:pPr>
      <w:r>
        <w:t>Regeste</w:t>
      </w:r>
    </w:p>
    <w:p>
      <w:r>
        <w:t>Invalidenversicherung Die Feststellung, dass eine (polydisziplinäre) Begutachtung stattfinden soll, stellt keine anfechtbare Verfügung dar; erst nach Feststehen sämtlicher Modalitäten in Bezug auf den Gutachtensauftrag (insbesondere Begutachtungsstelle, medizinische Fachdisziplinen, Gutachter, Fragenkatalog) kann eine anfechtbare Verfügung ergehen.</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 Schreiben der IV-Stelle Basel-Landschaft, sodass die örtliche Zuständigkeit des Kantonsgerichts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Gemäss § 1 Abs. 3 lit. g VPO ist zur Beurteilung der vorliegenden Angelegenheit das Präsidium zuständig.</w:t>
      </w:r>
    </w:p>
    <w:p>
      <w:r>
        <w:rPr>
          <w:b/>
        </w:rPr>
        <w:t>E. 2</w:t>
      </w:r>
    </w:p>
    <w:p>
      <w:r>
        <w:t>Mit Urteil vom 10. November 2016, 720 16 84, ist das Kantonsgericht unter Hinweis auf die eigene Rechtsprechung (Urteil des Kantonsgerichts vom 3. März 2016, 720 14 243) wie auch die Rechtsprechung des Bundesgerichts (Urteil des Bundesgerichts vom 10. November 2014, 9C_636/2014) und insbesondere auch diejenige des Sozialversicherungsgerichts Zürich (Beschluss des Sozialversicherungsgerichts Zürich vom 29. Juli 2016, IV.2016.00645) zum Schluss gekommen, dass auch nach dem Inkrafttreten der Änderung des Kreisschreibens über das Verfahren in der Invalidenversicherung (KSVI in der ab 1. Januar 2016 geltenden Fassung) die IV-Stelle während des Verfahrens zur Einholung eines polydisziplinären Gutachtens über die einzelnen Verfahrensschritte beziehungsweise über allfällige Einwendungen nicht zu verfügen habe. Eine allenfalls doch erlassene Verfügung sei mangels eines nicht wieder gutzumachenden Nachteils nicht mittels Beschwerde beim kantonalen Gericht anfechtbar. Erst wenn sämtliche Modalitäten (insbesondere Begutachtungsstelle, medizinische Fachdisziplinen, Gutachter, Fragenkatalog) feststünden und wenn Einwendungen erhoben worden seien, denen die IV-Stelle nicht vollumfänglich stattgegeben habe, habe sie eine anfechtbare Verfügung zu erlassen, in der sie sich zu sämtlichen noch strittigen Punkte zu äussern und mindestens kurz zu begründen habe, weshalb sie ihnen nicht oder nicht vollumfänglich stattgebe. Unbeachtlich ist dabei, ob es sich um Einwendungen gegen eine Begutachtung an sich bzw. gegen Art und Umfang der Begutachtung (erste Phase) oder um formelle und materielle (personenbezogene) Einwendungen in der zweiten Phase handelt.</w:t>
      </w:r>
    </w:p>
    <w:p>
      <w:r>
        <w:rPr>
          <w:b/>
        </w:rPr>
        <w:t>E. 3</w:t>
      </w:r>
    </w:p>
    <w:p>
      <w:r>
        <w:t>Gestützt auf diese Erwägungen ergibt sich, dass erst nach Feststehen sämtlicher Modalitäten in Bezug auf den Gutachtensauftrag eine anfechtbare Verfügung ergehen kann. Auf die gegen das Schreiben der IV-Stelle vom 17. November 2016 erhobene Beschwerde kann demzufolge mangels eines tauglichen Anfechtungsobjekts nicht eingetreten werden. Daran ändert auch nichts, dass das Schreiben fälschlicherweise als Zwischenverfügung bezeichnet und mit einer Rechtsmittelbelehrung versehen wurde. Im Übrigen erweist sich demzufolge der Verfahrensantrag der Beschwerdeführerin, es sei die IV-Stelle auf die aufschiebende Wirkung der Beschwerde hinzuweisen, als gegenstandslos.</w:t>
      </w:r>
    </w:p>
    <w:p>
      <w:r>
        <w:rPr>
          <w:b/>
        </w:rPr>
        <w:t>E. 4</w:t>
      </w:r>
    </w:p>
    <w:p>
      <w:r>
        <w:t>Es bleibt über die Kosten zu entscheiden.</w:t>
      </w:r>
    </w:p>
    <w:p>
      <w:r>
        <w:rPr>
          <w:b/>
        </w:rPr>
        <w:t>E. 4.1</w:t>
      </w:r>
    </w:p>
    <w:p>
      <w:r>
        <w:t>Gemäss Art. 69 Abs. 1 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Zwischenverfügungen im Zusammenhang mit der Anordnung einer Begutachtung sind als Bestandteil des Verfahrens zur Beurteilung des Leistungsanspruchs zu betrachten, weshalb das vorliegende Verfahren kostenpflichtig ist (vgl. Urteil des Kantonsgerichts vom 10. November 2016, 720 16 84, E. 5.2). Weiter schreibt Art. 69 Abs. 1 bis IVG vor, dass die Kosten nach dem Verfahrensaufwand und unabhängig vom Streitwert festzulegen sind. In Prozessen, in denen das Gericht das Verfahren zur Spruchreife zu führen, materiell über die Beschwerde zu befinden, ein entsprechendes Sachurteil zu fällen und dieses in der Folge schriftlich zu begründen hat, werden für einen Fall mit durchschnittlichem Verfahrensaufwand praxisgemäss Kosten in der Höhe von Fr. 800.-- erhoben. In Verfahren, die – wie das vorliegende – durch Präsidialentscheid erledigt werden, werden praxisgemäss Verfahrenskosten in der Höhe von Fr. 400.-- erhoben. Diese sind mit dem geleisteten Kostenvorschuss zu verrechnen.</w:t>
      </w:r>
    </w:p>
    <w:p>
      <w:r>
        <w:rPr>
          <w:b/>
        </w:rPr>
        <w:t>E. 4.2</w:t>
      </w:r>
    </w:p>
    <w:p>
      <w:r>
        <w:t>Die ausserordentlichen Kosten sind dem Prozessausgang entsprechend wettzuschlagen.</w:t>
      </w:r>
    </w:p>
    <w:p>
      <w:r>
        <w:rPr>
          <w:b/>
        </w:rPr>
        <w:t>E. 5</w:t>
      </w:r>
    </w:p>
    <w:p>
      <w:r>
        <w:t>Der Beschwerdeführerin wird eine Kopie der Eingabe der IV-Stelle vom 6. März 2017 zur Kenntnisnahme zugestellt.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