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17 285 / 57 vom 17. Juni 2015</w:t>
      </w:r>
    </w:p>
    <w:p>
      <w:r>
        <w:t>BL Gerichte, 2015-06-17, DE</w:t>
      </w:r>
    </w:p>
    <w:p>
      <w:r>
        <w:rPr>
          <w:b/>
        </w:rPr>
        <w:t xml:space="preserve">Quelle: </w:t>
      </w:r>
      <w:r>
        <w:t>https://mcp.opencaselaw.ch/entscheid/bl_gerichte_720_17_285___57</w:t>
      </w:r>
    </w:p>
    <w:p>
      <w:r>
        <w:t>FR: BL_GERICHTE 720 17 285 / 57 du 17 juin 2015</w:t>
      </w:r>
    </w:p>
    <w:p>
      <w:r>
        <w:t>IT: BL_GERICHTE 720 17 285 / 57 del 17 giugno 2015</w:t>
      </w:r>
    </w:p>
    <w:p>
      <w:pPr>
        <w:pStyle w:val="Heading2"/>
      </w:pPr>
      <w:r>
        <w:t>Regeste</w:t>
      </w:r>
    </w:p>
    <w:p>
      <w:r>
        <w:t>IV-Rente/Rückforderung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im Übrigen frist- und formgerecht erhobene Beschwerde vom 13. September 2017 ist einzutreten.</w:t>
      </w:r>
    </w:p>
    <w:p>
      <w:r>
        <w:rPr>
          <w:b/>
        </w:rPr>
        <w:t>E. 2</w:t>
      </w:r>
    </w:p>
    <w:p>
      <w:r>
        <w:t>Streitig ist zunächst die Frage, ob die Beschwerdegegnerin den Anspruch auf die dem Beschwerdeführer grundsätzlich zustehende Invalidenrente während des Aufenthalts im geschlossenen Massnahmevollzug im Sinne von Art. 59 Abs. 1 des Schweizerischen Strafgesetzbuchs (StGB) vom 21. Dezember 1937 zu Recht sistiert hat. Weiter ist die Rückforderung der dem Beschwerdeführer in den Monaten März bis Juli 2017 ausgerichteten Invalidenrenten zu prüfen.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1'963.10 (inkl. Auslagen und 8%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