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16 330/150 vom 1. September 2016</w:t>
      </w:r>
    </w:p>
    <w:p>
      <w:r>
        <w:t>BL Gerichte, 2016-09-01, DE</w:t>
      </w:r>
    </w:p>
    <w:p>
      <w:r>
        <w:rPr>
          <w:b/>
        </w:rPr>
        <w:t xml:space="preserve">Quelle: </w:t>
      </w:r>
      <w:r>
        <w:t>https://mcp.opencaselaw.ch/entscheid/bl_gerichte_720_16_330_150</w:t>
      </w:r>
    </w:p>
    <w:p>
      <w:r>
        <w:t>FR: BL_GERICHTE 720 16 330/150 du 1 septembre 2016</w:t>
      </w:r>
    </w:p>
    <w:p>
      <w:r>
        <w:t>IT: BL_GERICHTE 720 16 330/150 del 1 settembre 2016</w:t>
      </w:r>
    </w:p>
    <w:p>
      <w:pPr>
        <w:pStyle w:val="Heading2"/>
      </w:pPr>
      <w:r>
        <w:t>Regeste</w:t>
      </w:r>
    </w:p>
    <w:p>
      <w:r>
        <w:t>IV-Rente</w:t>
      </w:r>
    </w:p>
    <w:p>
      <w:pPr>
        <w:pStyle w:val="Heading2"/>
      </w:pPr>
      <w:r>
        <w:t>Erwägungen</w:t>
      </w:r>
    </w:p>
    <w:p>
      <w:r>
        <w:rPr>
          <w:b/>
        </w:rPr>
        <w:t>E. 1</w:t>
      </w:r>
    </w:p>
    <w:p>
      <w:r>
        <w:t>Auf die beim örtlich und sachlich zuständigen Gericht frist- und formgerecht eingereichte Beschwerde vom 29. September 2016 ist einzutreten.</w:t>
      </w:r>
    </w:p>
    <w:p>
      <w:r>
        <w:rPr>
          <w:b/>
        </w:rPr>
        <w:t>E. 2</w:t>
      </w:r>
    </w:p>
    <w:p>
      <w:r>
        <w:t>In formeller Hinsicht ist zunächst der Verfahrensantrag, es sei eine Parteiverhandlung mit Parteibefragung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BGE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BGE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 Aus ihm allein ist denn auch (noch) nicht auf den Wunsch auf eine konventionskonforme Verhandlung mit Publikums- und Presseanwesenheit zu schliessen (BGE 122 V 55 E. 3a mit Hinweisen).</w:t>
      </w:r>
    </w:p>
    <w:p>
      <w:r>
        <w:rPr>
          <w:b/>
        </w:rPr>
        <w:t>E. 2.2</w:t>
      </w:r>
    </w:p>
    <w:p>
      <w:r>
        <w:t>Vorliegend verlangte der Rechtsvertreter des Beschwerdeführers nicht die Durchführung einer öffentlichen Verhandlung im Sinne von Art. 6 Ziff. 1 EMRK. Die beantragte mündliche Parteiverhandlung soll vielmehr dazu dienen, ihn zu seinen persönlichen Umständen zu befragen. Dabei legt er indes nicht substantiiert dar, weshalb eine persönliche Befragung erforderlich ist. Namentlich ist nicht ersichtlich, welche Entscheid relevanten Umstände nur im Rahmen einer Befragung durch das Gericht vorgebracht werden könnten. In Anbetracht dessen, dass der Rechtsvertreter in seinen schriftlichen Eingaben die persönlichen Situation des Beschwerdeführers beschrieb und entsprechende Beweismittel eingereichte, ist davon auszugehen, dass der Beschwerdeführer seine persönliche Situation, die er im Rahmen einer Befragung durch das Gericht vorbringen wollte, in den schriftlichen Eingaben hinreichend dargelegt hat, weshalb der Entscheid der Instruktionsrichterin vom 24. Januar 2017 zu bestätigen und der Beweisantrag des Beschwerdeführers abzuweisen ist.</w:t>
      </w:r>
    </w:p>
    <w:p>
      <w:r>
        <w:rPr>
          <w:b/>
        </w:rPr>
        <w:t>E. 3</w:t>
      </w:r>
    </w:p>
    <w:p>
      <w:r>
        <w:t>Materiell streitig und zu prüfen ist der Rentenanspruch des Beschwerdeführers. Massgebend ist der Sachverhalt, wie er sich bis zum Erlass der angefochtenen Verfügung vom 1. September 2016 entwickelt hat. Dieser Zeitpunkt bildet rechtsprechungsgemäss die zeitliche Grenze der richterlichen Überprüfungsbefugnis (BGE 129 V 4 E. 1.2).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4.3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5.1 Nach Art. 28 Abs. 2 IVG hat die versicherte Person Anspruch auf eine ganze Rente, wenn sie zu mindestens 70%, auf eine Dreiviertelsrente, wenn sie zu mindestens 60%, auf eine halbe Rente, wenn sie zu mindestens 50% und auf eine Viertelsrente, wenn sie zu mindestens 40% invalid ist. 5.2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6</w:t>
      </w:r>
    </w:p>
    <w:p>
      <w:r>
        <w:t>Ausgangspunkt der Ermittlung des Invaliditätsgrades bildet die Frage, in welchem Ausmass die versicherte Person aufgrund ihrer gesundheitlichen Beeinträchtigungen arbeitsunfähig ist.</w:t>
      </w:r>
    </w:p>
    <w:p>
      <w:r>
        <w:rPr>
          <w:b/>
        </w:rPr>
        <w:t>E. 6.1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vom 9. August 2000, I 437/99 und I 575/99, E. 4b/bb).</w:t>
      </w:r>
    </w:p>
    <w:p>
      <w:r>
        <w:rPr>
          <w:b/>
        </w:rPr>
        <w:t>E. 7</w:t>
      </w:r>
    </w:p>
    <w:p>
      <w:r>
        <w:t>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8.1 Die IV-Stelle beauftragte das Spital D.____ mit einem Gutachten, welches am 26. Mai 2015 erstattet wurde. Darin wurden mit Auswirkung auf die Arbeitsfähigkeit ein lumbospondylogenes Schmerzsyndrom, eine Periatropathia humeroscapularis tendinopathica links und Polyarthrose diagnostiziert. Ohne Auswirkung auf die Arbeitsfähigkeit lägen ein cervicovertebrales Schmerzsyndrom und ein plantarer Fersensporn links vor. Im Vordergrund stünden die belastungsabhängigen Beschwerden im Bereich des Achsenskeletts in erster Linie tieflumbal lokalisiert. Aufgrund der Osteochondrosen und der Spondylolisthese bestünde sowohl eine Beeinträchtigung für längeres Stehen und Sitzen sowie für das Tragen von Lasten über 10 kg. Wirbelsäulenzwangshaltungen seien zu vermeiden. Aufgrund der Gonarthrose bestünden Einschränkungen beim Treppensteigen sowie für kniende Tätigkeiten. Aufgrund der Periathropathia tendinopathica humeroscapularis links seien Überkopfarbeiten zumindest links nicht möglich. Es sei anzunehmen, dass die Fingerpolyarthosen auch die feinmotorischen Tätigkeiten in zunehmendem Masse beeinträchtigen würden, wobei der zeitliche Verlauf hierfür derzeit nicht eingeschätzt werden könne. Die bisherige Tätigkeit als Schreiner sowie mittelschwere Verweistätigkeiten seien dem Versicherten seit mindestens März 2013 noch im Umfang von 50% zumutbar. Dabei seien die erforderlichen regelmässigen Pausen und Positionswechsel zu berücksichtigen. Für eine wechselbelastende leichte Verweistätigkeit, etwa Lager- oder Verkaufsarbeiten, betrage die Arbeitsfähigkeit 80%. Nach Durchführung von medizinischen Massnahmen könne die Arbeitsfähigkeit von 80% auf 100% gesteigert werden. 8.2 Die IV-Stelle ging demzufolge davon aus, dass dem Versicherten die bisherige Tätigkeit als selbstständiger Schreiner seit mindestens März 2013 noch im Umfang von 50%, und angepasste Verweistätigkeiten aber im Umfang von 80% zumutbar sind. Nach dem oben Gesagten (vgl. E. 6.3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erweist sich sowohl in der Darlegung der medizinischen Zusammenhänge als auch bezüglich der daraus gezogenen Schlussfolgerungen als überzeugend. Der Beschwerdeführer hat zu Recht nicht beanstandet, dass die IV-Stelle darauf abgestellt hat. Demnach ist davon auszugehen, dass dem Versicherten die bisherige Tätigkeit als Schreiner seit mindestens März 2013 noch im Umfang von 50% möglich ist. Leichte Verweistätigkeiten sind ihm aber im Umfang von 80% zumutbar.</w:t>
      </w:r>
    </w:p>
    <w:p>
      <w:r>
        <w:rPr>
          <w:b/>
        </w:rPr>
        <w:t>E. 9</w:t>
      </w:r>
    </w:p>
    <w:p>
      <w:r>
        <w:t>Die von der IV-Stelle vorgenommene Bemessung des Valideneinkommens aufgrund des Abklärungsberichts für Selbstständigerwerbende vom 7. Januar 2016 von Fr. 85‘116.-- hat der Beschwerdeführer zu Recht nicht beanstandet. Unbestritten ist auch die Feststellung der IV-Stelle, wonach der Beschwerdeführer in einer angepassten Verweistätigkeit mit einem Pensum von 80% gestützt auf die Tabellenlöhne der Schweizerischen Lohnstrukturerhebung (LSE) 2012 des Bundesamtes für Statistik (BfS) ein Jahreseinkommen von Fr. 62‘847.-- und damit ein höheres Einkommen erzielen könnte als in seinem angestammten Beruf als selbstständiger Schreiner, welches mit Fr. 41‘463.-- beziffert wurde. Streitig ist aber, ob dem Beschwerdeführer, welcher weiterhin in seiner eigenen Unternehmung im Rahmen von 50% tätig ist, wo er aber seine Restarbeitsfähigkeit von 80% in adaptierter Tätigkeit nicht voll ausschöpft, ein Berufswechsel in eine unselbständige angepasste Tätigkeit zuzumuten ist. 10.1 Nach der Rechtsprechung gilt im Gebiet der Invalidenversicherung ganz allgemein der Grundsatz, dass die versicherte Person, bevor sie Leistungen verlangt, alles ihr Zumutbare selber vorzukehren hat, um die Folgen ihrer Invalidität bestmöglich zu mildern. Als Richtschnur bei der Interessenabwägung kann gelten, dass die Anforderungen an die Schadenminderungspflicht zulässigerweise dort strenger sind, wo eine erhöhte Inanspruchnahme der Invalidenversicherung in Frage steht. Dies trifft beispielsweise zu, wenn der Verzicht auf schadenmindernde Vorkehren Rentenleistungen auslösen würde (Urteil des Bundesgerichts vom 8. Juli 2004, I 365/03, E. 4.2 mit Hinweisen; BGE 113 V 32). Ein Rentenanspruch ist dann zu verneinen, wenn die versicherte Person selbst ohne Eingliederungsmassnahmen, nötigenfalls mit einem Berufswechsel, zumutbarerweise in der Lage ist, ein rentenausschliessendes Erwerbseinkommen zu erzielen (Urteil des Bundesgerichts vom 22. September 2011, 8C_460/2011, E. 2 mit Hinweisen). 10.2 Die Frage der Verwertbarkeit der (Rest-) Arbeitsfähigkeit beurteilt sich (auch bei vorgerücktem Alter; BGE 138 V 457 E. 3.1) bezogen auf einen ausgeglichenen Arbeitsmarkt (Art. 16 Abs. 1 ATSG), wobei an die Konkretisierung von Arbeitsgelegenheiten und Verdienstaussichten keine übermässigen Anforderungen zu stellen sind (Urteil des Bundesgerichts vom 19. Mai 2016, 8C_910/2015, E. 4.2.1 mit Hinweisen, in: SVR 2016 IV Nr. 58 S. 190).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138 V 457 E. 3.1; Urteil vom 19. Mai 2016, 8C_910/2015, E. 4.2.2, in: SVR 2016 IV Nr. 58 S. 190). 10.3.1 Für den Zeitpunkt, in dem die Frage nach der Verwertbarkeit der (Rest-) Arbeitsfähigkeit bei vorgerücktem Alter beantwortet wird, ist auf das Feststehen der medizinischen Zumutbarkeit einer (Teil-)Erwerbstätigkeit abzustellen (BGE 138 V 457 E. 3.3). Die medizinische Zumutbarkeit steht fest, sobald die medizinischen Unterlagen diesbezüglich eine zuverlässige Sachverhaltsfeststellung erlauben (BGE 138 V 457 E. 3.4; Urteil vom 24. November 2016, 8C_665/2016, E. 5.3). 10.3.2 Das von der Verwaltung eingeholte Gutachten des Spitals D.____ vom 26. Mai 2105 bringt Klarheit über die Arbeitsfähigkeit des Beschwerdeführers und bildet genügende medizinische Grundlage für den Rentenentscheid (vgl. E. 8.2 hiervor). Demnach ist für die Rentenberechtigung die Verwertbarkeit der Restarbeitsfähigkeit am 26. Mai 2015 entscheidend. Wenn der Beschwerdeführer einwendet, es sei wegen einer von der IV-Stelle verschuldeten Verfahrensverzögerung vom Verfügungserlass am 1. September 2016 als massgebendem Zeitpunkt auszugehen, kann ihm nicht gefolgt werden. Nach Abklärung der gesundheitlichen Situation mussten die erwerblichen Verhältnisse abgeklärt werden, was bei selbstständig Erwerbenden in aller Regel mit einem grösseren Aufwand verbunden ist. Der Abklärungsbericht für Selbstständigerwerbende datiert vom 7. Januar 2016. Nur zwei Monate später erging am 9. März 2016 der Vorbescheid. Der Zeitaufwand für das Einwandverfahren von rund einem halben Jahr bewegt sich in einem angemessenen Rahmen. Bei dieser Sachlage ist der Vorinstanz keine Verzögerung des Verfahrens vorzuwerfen. Demnach besteht kein Grund, für die Beurteilung der Verwertbarkeit der Restarbeitsfähigkeit auf den Verfügungszeitpunkt abzustellen.</w:t>
      </w:r>
    </w:p>
    <w:p>
      <w:r>
        <w:rPr>
          <w:b/>
        </w:rPr>
        <w:t>E. 11</w:t>
      </w:r>
    </w:p>
    <w:p>
      <w:r>
        <w:t>Streitig ist, ob dem Beschwerdeführer die Aufgabe der selbständigen Erwerbstätigkeit zugemutet werden kann. Dieser stellt sich mit Blick auf sein mittlerweile fortgeschrittenes Alter und seiner seit 28 Jahren andauernden Selbstständigkeit auf den Standpunkt, dass ihm ein Berufswechsel nicht zumutbar sei und sich die Restarbeitsfähigkeit auf dem ausgeglichenen Arbeitsmarkt nicht verwerten lasse. Zu beachten sei, dass er immer wieder schlechte Tage zu verzeichnen habe, an welchen er kaum arbeitsfähig sei. Ausserdem sei zu erwarten, dass sich seine Arbeitsfähigkeit in den nächsten Jahren zunehmend verschlechtern werde. Die Restarbeitsfähigkeit werde im Rahmen seiner selbstständigen Erwerbsfähigkeit bestmöglich verwertet. Zudem sei ihm weder möglich noch zumutbar, sich in die Struktur eines Angestelltenverhältnisses einzuordnen. Würde er gezwungen, seine Selbstständigkeit aufzugeben, wäre ernsthaft zu befürchten, dass er psychisch dekompensiere. 12.1 Der Auffassung des Beschwerdeführers kann nicht beigepflichtet werden. Wie oben (vgl. E. 10.3.1 hiervor) ausgeführt ist für die Frage der Verwertbarkeit der Restarbeitsfähigkeit bei vorgerücktem Alter das Feststehen der medizinischen Zumutbarkeit einer (Teil-)Erwerbstätigkeit und somit der 26. Mai 2015 entscheidend. In diesem Zeitpunkt verblieben dem Beschwerdeführer rund 9½ Jahre bis zum ordentlichen Rentenalter. Diese Aktivitätsdauer lässt einen Berufswechsel als zumutbar erscheinen. Daran ändert auch sein Hinweis auf das Urteil des Bundesgerichts vom 30. Juli 2014, 9C_272/2014, nichts, bestand dort doch eine markant kürzere Aktivitätsdauer von weniger als drei Jahren. Vielmehr ist mit Blick auf das Urteil des Bundesgerichts vom 1. März 2017, 8C_678/2016, bei dem die Zumutbarkeit eines Berufswechsels bei einer Aktivitätsdauer von vier Jahren resp. drei Jahren und neun Monaten bejaht wurde, davon auszugehen, dass es dem Beschwerdeführer trotz des vorgerückten Alters zuzumuten ist, sich in ein neuer Tätigkeitsbereich einzuarbeiten. Dagegen spricht zwar die langjährige Tätigkeit als Selbständigerwerbender, was den Wechsel in einen unselbständigen Erwerb nicht einfach macht. Indes sind ihm nach der Beurteilung im massgebenden Gutachten des Spitals D.____ vom 26. Mai 2105 (vgl. E. 8.1 hiervor) wechselbelastende leichte Verweistätigkeiten, etwa Lager- oder Verkaufsarbeiten mit einer Einschränkung von 20% möglich und zumutbar. Entgegen der Ansicht des Beschwerdeführer unterliegt die ihm zumutbare Tätigkeit denn auch nicht derart vielen Einschränkungen, dass eine Anstellung nicht mehr als realistisch zu bezeichnen wäre (vgl. E. 10.2 hiervor). Unter Berücksichtigung, dass der ausgeglichene Arbeitsmarkt auch Nischenarbeitsplätze umfasst (Urteil des Bundesgericht vom 11. Februar 2015, 8C_740/2014, E. 3.4.3 mit Hinweis), ist vielmehr davon auszugehen, dass auf dem ausgeglichenen Arbeitsmarkt durchaus die entsprechende Nachfrage für die den gesundheitlichen Einschränkungen des Beschwerdeführers zumutbare Tätigkeiten besteht. Dies gilt umso mehr, als er aufgrund seiner Ausbildung zum Polymechaniker vielseitig einsetzbare berufliche Fähigkeiten aufweist und als selbständig Erwerbender Schreiner auch Erfahrungen im administrativen Bereich sammeln konnte, sodass bei ihm auch ohne besondere Einarbeitung verschiedene unselbständige Tätigkeiten in Frage kommen. Zwar ist er angesichts seines Alters und der bestehenden gesundheitlichen Beschwerden nicht leicht vermittelbar, dennoch sind ihm zumutbare Tätigkeiten zweifellos nicht nur in so eingeschränkter Form möglich, dass sie der allgemeine Arbeitsmarkt praktisch nicht kennt oder dass sie nur unter nicht realistischem Entgegenkommen eines durchschnittlichen Arbeitgebers ausgeübt werden könnten. Insgesamt liegen keine Gründe vor, die dem Beschwerdeführer die Annahme einer unselbständigen Erwerbstätigkeit unzumutbar machen würden. 12.2.1 Daran vermögen auch die im vorliegenden Verfahren eingereichten Berichte von Dr. B.____ vom 30. Januar 2017 und 7. März 2017 nichts zu ändern. Am 30. Januar 2017 hielt er fest, dass er den Beschwerdeführer erstmals am 25. Januar 2017 getroffen habe und diagnostizierte eine gegenwärtig leichtgradige depressive Störung sowie akzentuierte Persönlichkeitszüge mit narzisstisch-abhängigen Anteilen. Der Versicherte verfüge nur über eingeschränkte Ressourcen. Er sei zwar in der Lage, meist alleinarbeitend seine Leistungen zu erbringen. Die Ressourcen würden aber weder für eine Arbeit in einem engen, fremdstrukturierten Betrieb noch für eine berufliche Umschulung ausreichen. Am 7. März 2017 bekräftigte er seine Angaben im Bericht vom 30. Januar 2017 und hielt ergänzend fest, dass der Versicherte in seiner bisherigen Tätigkeit als Schreiner aus psychiatrischer Sicht nicht eingeschränkt sei. 12.2.2 Abgesehen davon, dass der Beschwerdeführer Dr. B.____ erstmals am 25. Januar 2017 und damit nach Erlass der angefochtenen Verfügung vom 1. September 2016 aufsuchte und leichte Störungen aus dem depressiven Formenkreis invalidenversicherungsrechtlich zu keiner Einschränkung der Arbeitsfähigkeit führen (Urteil des Bundesgerichts vom 18. November 2015, 9C_125/2015, E. 7.2.1 mit Hinweisen) ist mit diesen Berichten die Unzumutbarkeit für einen Berufswechsel aus psychischen Gründen für den Zeitpunkt des Verfügungserlasses nicht mit überwiegender Wahrscheinlichkeit erstellt. Dies gilt umso mehr, als aus den vorliegenden Akten keine Anzeichen für eine invalidenversicherungsrechtlich relevante psychische Erkrankung des Beschwerdeführers ergeben, weshalb in antizipierter Beweiswürdigung (vgl. BGE 126 V 130 E. 2a mit zahlreichen Hinweisen) auf zusätzliche medizinische Abklärungen verzichtet und davon ausgegangen werden kann, dass dem Beschwerdeführer die Aufnahme einer unselbständigen Erwerbstätigkeit im Umfang von 80% medizinisch zumutbar ist.</w:t>
      </w:r>
    </w:p>
    <w:p>
      <w:r>
        <w:rPr>
          <w:b/>
        </w:rPr>
        <w:t>E. 13</w:t>
      </w:r>
    </w:p>
    <w:p>
      <w:r>
        <w:t>Nach dem Gesagten ist die Zumutbarkeit der Aufgabe der selbständigen Erwerbstätigkeit zu bejahen. Zumindest muss sich der Beschwerdeführer im Rahmen der ihm zumutbaren Schadenminderungspflicht anrechnen lassen, was er in einer angepassten Tätigkeit auf dem hypothetisch ausgeglichenen Arbeitsmarkt zu erzielen noch in der Lage wäre. Da ihm auf dem allgemeinen Arbeitsmarkt geeignete Arbeitsstellen zur Verfügung stehen, an denen er die ihm verbleibende (Rest)Arbeitsfähigkeit noch verwerten kann, ist ihm deren Verwertung auch gestützt auf die Selbsteingliederungslast zumutbar. Nachdem sich aus den Akten keine Hinweise ergeben, dass im Rahmen der Rechtsanwendung von Amtes wegen durch das Gericht eine andere Einschätzung der Vergleichseinkommen vorzunehmen wäre und die Berechnung auch vom Versicherten nicht beanstandet wurde, erübrigt sich eine detaillierte Auseinandersetzung mit dem durch die IV-Stelle angestellten Einkommensvergleich. Es ist mit der IV-Stelle davon auszugehen, dass der Beschwerdeführer ein rentenausschliessendes Erwerbseinkommen erzielen könnte. Die angefochtene Verfügung vom 1. September 2016, mit welcher ein Rentenanspruch des Beschwerdeführers abgewiesen wurde, ist im Ergebnis nicht zu beanstanden. Bei dieser Sachlage sowie der Tatsache, dass der Beschwerdeführer spätestens seit dem Vorbescheid weiss, dass er seiner Schadenminderungspflicht nicht hinreichend nachkommt, besteht kein Raum für eine befristete Übergangsrente. Die Beschwerde ist deshalb abzuweisen.</w:t>
      </w:r>
    </w:p>
    <w:p>
      <w:r>
        <w:rPr>
          <w:b/>
        </w:rPr>
        <w:t>E. 14</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Der anwaltlich vertretene Beschwerdeführer ersuchte um Auferlegung einer moderaten Gerichtsgebühr, ohne jedoch ein förmliches Gesuch um unentgeltliche Rechtspflege zu stellen. Aufgrund der Tatsache, dass der Beschwerdeführer den Kostenvorschuss in der Höhe von Fr. 800.-- leistete, kann darauf geschlossen werden, dass er in der Lage ist, die ordentlichen Kosten des vorliegenden Verfahrens zu tragen. Daher besteht kein Grund für eine Reduktion der Gerichtsgebühr. Die Verfahrenskosten werden deshalb mit dem vom Beschwerdeführer geleisteten Kostenvorschuss in der Höhe von Fr. 800.-- verrechnet. Die ausserordentlichen Kosten sind dem Prozessausgang entsprechend wettzuschlagen. Demgemäss wird erkannt: ://: 1. Die Beschwerde wird abgewiesen. 2. Die Verfahrenslosten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