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16 230/52 vom 12. Mai 2005</w:t>
      </w:r>
    </w:p>
    <w:p>
      <w:r>
        <w:t>BL Gerichte, 2005-05-12, DE</w:t>
      </w:r>
    </w:p>
    <w:p>
      <w:r>
        <w:rPr>
          <w:b/>
        </w:rPr>
        <w:t xml:space="preserve">Quelle: </w:t>
      </w:r>
      <w:r>
        <w:t>https://mcp.opencaselaw.ch/entscheid/bl_gerichte_720_16_230_52</w:t>
      </w:r>
    </w:p>
    <w:p>
      <w:r>
        <w:t>FR: BL_GERICHTE 720 16 230/52 du 12 mai 2005</w:t>
      </w:r>
    </w:p>
    <w:p>
      <w:r>
        <w:t>IT: BL_GERICHTE 720 16 230/52 del 12 maggio 2005</w:t>
      </w:r>
    </w:p>
    <w:p>
      <w:pPr>
        <w:pStyle w:val="Heading2"/>
      </w:pPr>
      <w:r>
        <w:t>Regeste</w:t>
      </w:r>
    </w:p>
    <w:p>
      <w:r>
        <w:t>Invalidenversicherung Bemessung der Invalidität; Wiedererwägung/Zweifellose Unrichtigkeit der damaligen Rentenverfügung auf Grund Ermessensüberschreitung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teilweiser Gutheissung der Beschwerde wird die Verfügung der IV-Stelle Basel-Landschaft vom 9. Juni 2016 aufgehoben und es wird festgestellt, dass die Beschwerdeführerin mit Wirkung ab dem 1. August 2016 Anspruch auf eine Dreiviertelsrente hat.</w:t>
      </w:r>
    </w:p>
    <w:p>
      <w:r>
        <w:rPr>
          <w:b/>
        </w:rPr>
        <w:t>E. 2</w:t>
      </w:r>
    </w:p>
    <w:p>
      <w:r>
        <w:t>Es werden keine Verfahrenskosten erhoben. Der geleistete Kostenvorschuss in Höhe von Fr. 800.-- wird der Beschwerdeführerin zurückerstattet.</w:t>
      </w:r>
    </w:p>
    <w:p>
      <w:r>
        <w:rPr>
          <w:b/>
        </w:rPr>
        <w:t>E. 3</w:t>
      </w:r>
    </w:p>
    <w:p>
      <w:r>
        <w:t>Die IV-Stelle Basel-Landschaft hat der Beschwerdeführerin eine Parteientschädigung in Höhe von Fr. 3‘171.30 (inkl. Auslagen und 8% Mehrwertsteuer) zu bezahlen. Gegen diesen Entscheid wurde von der IV-Stelle am 18. Mai 2017 Beschwerde beim Bundesgericht (siehe nach Vorliegen des Urteils: Verfahren-Nr. 9C_358/2017) erhoben.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