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15 94 / 277 vom 19. Oktober 2017</w:t>
      </w:r>
    </w:p>
    <w:p>
      <w:r>
        <w:t>BL Gerichte, 2017-10-19, DE</w:t>
      </w:r>
    </w:p>
    <w:p>
      <w:r>
        <w:rPr>
          <w:b/>
        </w:rPr>
        <w:t xml:space="preserve">Quelle: </w:t>
      </w:r>
      <w:r>
        <w:t>https://mcp.opencaselaw.ch/entscheid/bl_gerichte_720_15_94___277</w:t>
      </w:r>
    </w:p>
    <w:p>
      <w:r>
        <w:t>FR: BL_GERICHTE 720 15 94 / 277 du 19 octobre 2017</w:t>
      </w:r>
    </w:p>
    <w:p>
      <w:r>
        <w:t>IT: BL_GERICHTE 720 15 94 / 277 del 19 ottobre 2017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Gemäss Art. 69 Abs. 1 lit. a des Bundesgesetzes über die Invalidenversicherung (IVG) vom 19. Juni 1959 können Verfügungen der kantonalen IV-Stellen direkt vor dem Versicherungsgericht am Ort der IV-Stelle angefochten werden. Anfechtungsobjekt des vorliegenden Verfahrens bildet eine Verfügung der IV-Stelle Basel-Landschaft, sodass die örtliche Zuständigkeit des Kantonsgerichts Basel-Landschaft zu bejahen ist. Laut § 54 Abs. 1 lit. b des Gesetzes über die Verfassungs- und Verwaltungsprozessordnung (VPO) vom 16. Dezember 1993 beurteilt das Kantonsgericht als Versicherungsgericht als einzige gerichtliche Instanz des Kantons Beschwerden gegen Verfügungen der kantonalen IV-Stelle. Es ist somit auch sachlich zur Behandlung der vorliegenden Beschwerde zuständig. Auf die im Übrigen frist- und formgerecht erhobene Beschwerde vom 6. März 2015 ist demnach einzutreten.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600.-- wird dem Beschwerdeführer zurückerstattet.</w:t>
      </w:r>
    </w:p>
    <w:p>
      <w:r>
        <w:rPr>
          <w:b/>
        </w:rPr>
        <w:t>E. 3</w:t>
      </w:r>
    </w:p>
    <w:p>
      <w:r>
        <w:t>Die Beschwerdegegnerin hat dem Beschwerdeführer eine Parteientschädigung in der Höhe von Fr. 7‘516.50 (inkl. Auslagen und 8%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