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15 195 vom 17. September 2015</w:t>
      </w:r>
    </w:p>
    <w:p>
      <w:r>
        <w:t>BL Gerichte, 2015-09-17, DE</w:t>
      </w:r>
    </w:p>
    <w:p>
      <w:r>
        <w:rPr>
          <w:b/>
        </w:rPr>
        <w:t xml:space="preserve">Quelle: </w:t>
      </w:r>
      <w:r>
        <w:t>https://mcp.opencaselaw.ch/entscheid/bl_gerichte_720_15_195</w:t>
      </w:r>
    </w:p>
    <w:p>
      <w:r>
        <w:t>FR: BL_GERICHTE 720 15 195 du 17 septembre 2015</w:t>
      </w:r>
    </w:p>
    <w:p>
      <w:r>
        <w:t>IT: BL_GERICHTE 720 15 195 del 17 settembre 2015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der Rechtsvertreterin der Beschwerdeführerin ein Honorar von Fr. 1‘975.20 (inkl. Auslagen und 8 %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